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3036D" w14:textId="77777777" w:rsidR="00BC776C" w:rsidRPr="00707EB9" w:rsidRDefault="00BC776C" w:rsidP="00724DBA">
      <w:pPr>
        <w:rPr>
          <w:rFonts w:ascii="Arial" w:hAnsi="Arial"/>
          <w:b/>
          <w:bCs/>
          <w:sz w:val="24"/>
          <w:szCs w:val="24"/>
        </w:rPr>
      </w:pPr>
    </w:p>
    <w:p w14:paraId="6974900E" w14:textId="6535BFD6" w:rsidR="00003DE2" w:rsidRPr="00707EB9" w:rsidRDefault="00003DE2" w:rsidP="009F44FF">
      <w:pPr>
        <w:jc w:val="center"/>
        <w:rPr>
          <w:rFonts w:ascii="Arial" w:hAnsi="Arial"/>
          <w:b/>
          <w:bCs/>
          <w:sz w:val="24"/>
          <w:szCs w:val="24"/>
        </w:rPr>
      </w:pPr>
      <w:proofErr w:type="spellStart"/>
      <w:r w:rsidRPr="00707EB9">
        <w:rPr>
          <w:rFonts w:ascii="Arial" w:hAnsi="Arial"/>
          <w:b/>
          <w:bCs/>
          <w:sz w:val="24"/>
          <w:szCs w:val="24"/>
        </w:rPr>
        <w:t>Savills</w:t>
      </w:r>
      <w:proofErr w:type="spellEnd"/>
      <w:r w:rsidRPr="00707EB9">
        <w:rPr>
          <w:rFonts w:ascii="Arial" w:hAnsi="Arial"/>
          <w:b/>
          <w:bCs/>
          <w:sz w:val="24"/>
          <w:szCs w:val="24"/>
        </w:rPr>
        <w:t xml:space="preserve"> IM </w:t>
      </w:r>
      <w:r w:rsidR="00480B3A" w:rsidRPr="00707EB9">
        <w:rPr>
          <w:rFonts w:ascii="Arial" w:hAnsi="Arial"/>
          <w:b/>
          <w:bCs/>
          <w:sz w:val="24"/>
          <w:szCs w:val="24"/>
        </w:rPr>
        <w:t xml:space="preserve">o </w:t>
      </w:r>
      <w:r w:rsidRPr="00707EB9">
        <w:rPr>
          <w:rFonts w:ascii="Arial" w:hAnsi="Arial"/>
          <w:b/>
          <w:bCs/>
          <w:sz w:val="24"/>
          <w:szCs w:val="24"/>
        </w:rPr>
        <w:t>m</w:t>
      </w:r>
      <w:r w:rsidR="001276D3" w:rsidRPr="00707EB9">
        <w:rPr>
          <w:rFonts w:ascii="Arial" w:hAnsi="Arial"/>
          <w:b/>
          <w:bCs/>
          <w:sz w:val="24"/>
          <w:szCs w:val="24"/>
        </w:rPr>
        <w:t>ożliwości</w:t>
      </w:r>
      <w:r w:rsidR="00480B3A" w:rsidRPr="00707EB9">
        <w:rPr>
          <w:rFonts w:ascii="Arial" w:hAnsi="Arial"/>
          <w:b/>
          <w:bCs/>
          <w:sz w:val="24"/>
          <w:szCs w:val="24"/>
        </w:rPr>
        <w:t>ach</w:t>
      </w:r>
      <w:r w:rsidR="001276D3" w:rsidRPr="00707EB9">
        <w:rPr>
          <w:rFonts w:ascii="Arial" w:hAnsi="Arial"/>
          <w:b/>
          <w:bCs/>
          <w:sz w:val="24"/>
          <w:szCs w:val="24"/>
        </w:rPr>
        <w:t xml:space="preserve"> inwestycyjn</w:t>
      </w:r>
      <w:r w:rsidR="00480B3A" w:rsidRPr="00707EB9">
        <w:rPr>
          <w:rFonts w:ascii="Arial" w:hAnsi="Arial"/>
          <w:b/>
          <w:bCs/>
          <w:sz w:val="24"/>
          <w:szCs w:val="24"/>
        </w:rPr>
        <w:t>ych</w:t>
      </w:r>
      <w:r w:rsidR="001276D3" w:rsidRPr="00707EB9">
        <w:rPr>
          <w:rFonts w:ascii="Arial" w:hAnsi="Arial"/>
          <w:b/>
          <w:bCs/>
          <w:sz w:val="24"/>
          <w:szCs w:val="24"/>
        </w:rPr>
        <w:t xml:space="preserve"> </w:t>
      </w:r>
      <w:r w:rsidR="000D2D72">
        <w:rPr>
          <w:rFonts w:ascii="Arial" w:hAnsi="Arial"/>
          <w:b/>
          <w:bCs/>
          <w:sz w:val="24"/>
          <w:szCs w:val="24"/>
        </w:rPr>
        <w:t xml:space="preserve">na </w:t>
      </w:r>
      <w:r w:rsidR="00754338" w:rsidRPr="00707EB9">
        <w:rPr>
          <w:rFonts w:ascii="Arial" w:hAnsi="Arial"/>
          <w:b/>
          <w:bCs/>
          <w:sz w:val="24"/>
          <w:szCs w:val="24"/>
        </w:rPr>
        <w:t xml:space="preserve">rynku </w:t>
      </w:r>
      <w:r w:rsidRPr="00707EB9">
        <w:rPr>
          <w:rFonts w:ascii="Arial" w:hAnsi="Arial"/>
          <w:b/>
          <w:bCs/>
          <w:sz w:val="24"/>
          <w:szCs w:val="24"/>
        </w:rPr>
        <w:t>nieruchomości, wynikając</w:t>
      </w:r>
      <w:r w:rsidR="00480B3A" w:rsidRPr="00707EB9">
        <w:rPr>
          <w:rFonts w:ascii="Arial" w:hAnsi="Arial"/>
          <w:b/>
          <w:bCs/>
          <w:sz w:val="24"/>
          <w:szCs w:val="24"/>
        </w:rPr>
        <w:t>ych</w:t>
      </w:r>
      <w:r w:rsidRPr="00707EB9">
        <w:rPr>
          <w:rFonts w:ascii="Arial" w:hAnsi="Arial"/>
          <w:b/>
          <w:bCs/>
          <w:sz w:val="24"/>
          <w:szCs w:val="24"/>
        </w:rPr>
        <w:t xml:space="preserve"> ze zmian na rynkach kapitałowych</w:t>
      </w:r>
    </w:p>
    <w:p w14:paraId="3354404D" w14:textId="25658CF0" w:rsidR="00F23208" w:rsidRPr="00707EB9" w:rsidRDefault="00A921FB" w:rsidP="00750CB1">
      <w:pPr>
        <w:pStyle w:val="Akapitzlist"/>
        <w:numPr>
          <w:ilvl w:val="0"/>
          <w:numId w:val="28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707EB9">
        <w:rPr>
          <w:rFonts w:ascii="Arial" w:hAnsi="Arial"/>
          <w:b/>
          <w:sz w:val="18"/>
          <w:szCs w:val="18"/>
        </w:rPr>
        <w:t>Według badania przeprowadzonego</w:t>
      </w:r>
      <w:r w:rsidR="00480B3A" w:rsidRPr="00707EB9">
        <w:rPr>
          <w:rFonts w:ascii="Arial" w:hAnsi="Arial"/>
          <w:b/>
          <w:sz w:val="18"/>
          <w:szCs w:val="18"/>
        </w:rPr>
        <w:t xml:space="preserve"> przez </w:t>
      </w:r>
      <w:proofErr w:type="spellStart"/>
      <w:r w:rsidR="00480B3A" w:rsidRPr="00707EB9">
        <w:rPr>
          <w:rFonts w:ascii="Arial" w:hAnsi="Arial"/>
          <w:b/>
          <w:sz w:val="18"/>
          <w:szCs w:val="18"/>
        </w:rPr>
        <w:t>Savills</w:t>
      </w:r>
      <w:proofErr w:type="spellEnd"/>
      <w:r w:rsidR="00480B3A" w:rsidRPr="00707EB9">
        <w:rPr>
          <w:rFonts w:ascii="Arial" w:hAnsi="Arial"/>
          <w:b/>
          <w:sz w:val="18"/>
          <w:szCs w:val="18"/>
        </w:rPr>
        <w:t xml:space="preserve"> IM</w:t>
      </w:r>
      <w:r w:rsidR="009F1C97" w:rsidRPr="00707EB9">
        <w:rPr>
          <w:rFonts w:ascii="Arial" w:hAnsi="Arial"/>
          <w:b/>
          <w:sz w:val="18"/>
          <w:szCs w:val="18"/>
        </w:rPr>
        <w:t>,</w:t>
      </w:r>
      <w:r w:rsidR="00480B3A" w:rsidRPr="00707EB9">
        <w:rPr>
          <w:rFonts w:ascii="Arial" w:hAnsi="Arial"/>
          <w:b/>
          <w:sz w:val="18"/>
          <w:szCs w:val="18"/>
        </w:rPr>
        <w:t xml:space="preserve"> </w:t>
      </w:r>
      <w:r w:rsidR="00F23208" w:rsidRPr="00707EB9">
        <w:rPr>
          <w:rFonts w:ascii="Arial" w:hAnsi="Arial"/>
          <w:b/>
          <w:sz w:val="18"/>
          <w:szCs w:val="18"/>
        </w:rPr>
        <w:t xml:space="preserve">70% </w:t>
      </w:r>
      <w:r w:rsidR="002A3101" w:rsidRPr="00707EB9">
        <w:rPr>
          <w:rFonts w:ascii="Arial" w:hAnsi="Arial"/>
          <w:b/>
          <w:sz w:val="18"/>
          <w:szCs w:val="18"/>
        </w:rPr>
        <w:t xml:space="preserve">inwestorów </w:t>
      </w:r>
      <w:r w:rsidR="00F23208" w:rsidRPr="00707EB9">
        <w:rPr>
          <w:rFonts w:ascii="Arial" w:hAnsi="Arial"/>
          <w:b/>
          <w:sz w:val="18"/>
          <w:szCs w:val="18"/>
        </w:rPr>
        <w:t xml:space="preserve">przewiduje, że inwestycje </w:t>
      </w:r>
      <w:r w:rsidR="00C22BDD">
        <w:rPr>
          <w:rFonts w:ascii="Arial" w:hAnsi="Arial"/>
          <w:b/>
          <w:sz w:val="18"/>
          <w:szCs w:val="18"/>
        </w:rPr>
        <w:br/>
      </w:r>
      <w:r w:rsidR="00F23208" w:rsidRPr="00707EB9">
        <w:rPr>
          <w:rFonts w:ascii="Arial" w:hAnsi="Arial"/>
          <w:b/>
          <w:sz w:val="18"/>
          <w:szCs w:val="18"/>
        </w:rPr>
        <w:t>w</w:t>
      </w:r>
      <w:r w:rsidR="002A3101" w:rsidRPr="00707EB9">
        <w:rPr>
          <w:rFonts w:ascii="Arial" w:hAnsi="Arial"/>
          <w:b/>
          <w:sz w:val="18"/>
          <w:szCs w:val="18"/>
        </w:rPr>
        <w:t xml:space="preserve"> nieruchomości utrzymają się</w:t>
      </w:r>
      <w:r w:rsidR="00F23208" w:rsidRPr="00707EB9">
        <w:rPr>
          <w:rFonts w:ascii="Arial" w:hAnsi="Arial"/>
          <w:b/>
          <w:sz w:val="18"/>
          <w:szCs w:val="18"/>
        </w:rPr>
        <w:t xml:space="preserve"> na obecnym</w:t>
      </w:r>
      <w:r w:rsidRPr="00707EB9">
        <w:rPr>
          <w:rFonts w:ascii="Arial" w:hAnsi="Arial"/>
          <w:b/>
          <w:sz w:val="18"/>
          <w:szCs w:val="18"/>
        </w:rPr>
        <w:t xml:space="preserve"> poziomie</w:t>
      </w:r>
      <w:r w:rsidR="00F23208" w:rsidRPr="00707EB9">
        <w:rPr>
          <w:rFonts w:ascii="Arial" w:hAnsi="Arial"/>
          <w:b/>
          <w:sz w:val="18"/>
          <w:szCs w:val="18"/>
        </w:rPr>
        <w:t xml:space="preserve"> </w:t>
      </w:r>
      <w:r w:rsidRPr="00707EB9">
        <w:rPr>
          <w:rFonts w:ascii="Arial" w:hAnsi="Arial"/>
          <w:b/>
          <w:sz w:val="18"/>
          <w:szCs w:val="18"/>
        </w:rPr>
        <w:t>lub wzrosną</w:t>
      </w:r>
      <w:r w:rsidR="00F23208" w:rsidRPr="00707EB9">
        <w:rPr>
          <w:rFonts w:ascii="Arial" w:hAnsi="Arial"/>
          <w:b/>
          <w:sz w:val="18"/>
          <w:szCs w:val="18"/>
        </w:rPr>
        <w:t xml:space="preserve"> </w:t>
      </w:r>
      <w:r w:rsidR="0073625D" w:rsidRPr="00707EB9">
        <w:rPr>
          <w:rFonts w:ascii="Arial" w:hAnsi="Arial"/>
          <w:b/>
          <w:sz w:val="18"/>
          <w:szCs w:val="18"/>
        </w:rPr>
        <w:t>w ciągu kolejnych</w:t>
      </w:r>
      <w:r w:rsidR="00F23208" w:rsidRPr="00707EB9">
        <w:rPr>
          <w:rFonts w:ascii="Arial" w:hAnsi="Arial"/>
          <w:b/>
          <w:sz w:val="18"/>
          <w:szCs w:val="18"/>
        </w:rPr>
        <w:t xml:space="preserve"> 12 miesięcy.</w:t>
      </w:r>
    </w:p>
    <w:p w14:paraId="4F1F62D8" w14:textId="7DAD6962" w:rsidR="002A3101" w:rsidRPr="00707EB9" w:rsidRDefault="00480B3A" w:rsidP="00750CB1">
      <w:pPr>
        <w:pStyle w:val="Akapitzlist"/>
        <w:numPr>
          <w:ilvl w:val="0"/>
          <w:numId w:val="28"/>
        </w:numPr>
        <w:spacing w:before="100" w:beforeAutospacing="1" w:after="120"/>
        <w:ind w:left="714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707EB9">
        <w:rPr>
          <w:rFonts w:ascii="Arial" w:hAnsi="Arial"/>
          <w:b/>
          <w:sz w:val="18"/>
          <w:szCs w:val="18"/>
        </w:rPr>
        <w:t xml:space="preserve">Według </w:t>
      </w:r>
      <w:proofErr w:type="spellStart"/>
      <w:r w:rsidR="00F23208" w:rsidRPr="00707EB9">
        <w:rPr>
          <w:rFonts w:ascii="Arial" w:hAnsi="Arial"/>
          <w:b/>
          <w:sz w:val="18"/>
          <w:szCs w:val="18"/>
        </w:rPr>
        <w:t>Savills</w:t>
      </w:r>
      <w:proofErr w:type="spellEnd"/>
      <w:r w:rsidR="00F23208" w:rsidRPr="00707EB9">
        <w:rPr>
          <w:rFonts w:ascii="Arial" w:hAnsi="Arial"/>
          <w:b/>
          <w:sz w:val="18"/>
          <w:szCs w:val="18"/>
        </w:rPr>
        <w:t xml:space="preserve"> IM</w:t>
      </w:r>
      <w:r w:rsidRPr="00707EB9">
        <w:rPr>
          <w:rFonts w:ascii="Arial" w:hAnsi="Arial"/>
          <w:b/>
          <w:sz w:val="18"/>
          <w:szCs w:val="18"/>
        </w:rPr>
        <w:t xml:space="preserve"> sektory atrakcyjne w długim termini</w:t>
      </w:r>
      <w:r w:rsidR="009F1C97" w:rsidRPr="00707EB9">
        <w:rPr>
          <w:rFonts w:ascii="Arial" w:hAnsi="Arial"/>
          <w:b/>
          <w:sz w:val="18"/>
          <w:szCs w:val="18"/>
        </w:rPr>
        <w:t xml:space="preserve">e pod względem inwestycyjnym to: </w:t>
      </w:r>
      <w:r w:rsidR="002A3101" w:rsidRPr="00707EB9">
        <w:rPr>
          <w:rFonts w:ascii="Arial" w:hAnsi="Arial"/>
          <w:b/>
          <w:sz w:val="18"/>
          <w:szCs w:val="18"/>
        </w:rPr>
        <w:t xml:space="preserve">sektor </w:t>
      </w:r>
      <w:r w:rsidR="009F1C97" w:rsidRPr="00707EB9">
        <w:rPr>
          <w:rFonts w:ascii="Arial" w:hAnsi="Arial"/>
          <w:b/>
          <w:sz w:val="18"/>
          <w:szCs w:val="18"/>
        </w:rPr>
        <w:t>magazynowy</w:t>
      </w:r>
      <w:r w:rsidR="002A3101" w:rsidRPr="00707EB9">
        <w:rPr>
          <w:rFonts w:ascii="Arial" w:hAnsi="Arial"/>
          <w:b/>
          <w:sz w:val="18"/>
          <w:szCs w:val="18"/>
        </w:rPr>
        <w:t xml:space="preserve">, </w:t>
      </w:r>
      <w:r w:rsidRPr="00707EB9">
        <w:rPr>
          <w:rFonts w:ascii="Arial" w:hAnsi="Arial"/>
          <w:b/>
          <w:sz w:val="18"/>
          <w:szCs w:val="18"/>
        </w:rPr>
        <w:t xml:space="preserve">supermarkety i parki handlowe z przewagą operatora spożywczego </w:t>
      </w:r>
      <w:r w:rsidR="009F1C97" w:rsidRPr="00707EB9">
        <w:rPr>
          <w:rFonts w:ascii="Arial" w:hAnsi="Arial"/>
          <w:b/>
          <w:sz w:val="18"/>
          <w:szCs w:val="18"/>
        </w:rPr>
        <w:t xml:space="preserve">oraz </w:t>
      </w:r>
      <w:r w:rsidRPr="00707EB9">
        <w:rPr>
          <w:rFonts w:ascii="Arial" w:hAnsi="Arial"/>
          <w:b/>
          <w:sz w:val="18"/>
          <w:szCs w:val="18"/>
        </w:rPr>
        <w:t>najlepsze biura klasy A</w:t>
      </w:r>
      <w:r w:rsidR="009F1C97" w:rsidRPr="00707EB9">
        <w:rPr>
          <w:rFonts w:ascii="Arial" w:hAnsi="Arial"/>
          <w:b/>
          <w:sz w:val="18"/>
          <w:szCs w:val="18"/>
        </w:rPr>
        <w:t>,</w:t>
      </w:r>
      <w:r w:rsidRPr="00707EB9">
        <w:rPr>
          <w:rFonts w:ascii="Arial" w:hAnsi="Arial"/>
          <w:b/>
          <w:sz w:val="18"/>
          <w:szCs w:val="18"/>
        </w:rPr>
        <w:t xml:space="preserve"> </w:t>
      </w:r>
      <w:r w:rsidR="002A3101" w:rsidRPr="00707EB9">
        <w:rPr>
          <w:rFonts w:ascii="Arial" w:hAnsi="Arial"/>
          <w:b/>
          <w:sz w:val="18"/>
          <w:szCs w:val="18"/>
        </w:rPr>
        <w:t>zlokalizowa</w:t>
      </w:r>
      <w:r w:rsidRPr="00707EB9">
        <w:rPr>
          <w:rFonts w:ascii="Arial" w:hAnsi="Arial"/>
          <w:b/>
          <w:sz w:val="18"/>
          <w:szCs w:val="18"/>
        </w:rPr>
        <w:t>ne</w:t>
      </w:r>
      <w:r w:rsidR="009F1C97" w:rsidRPr="00707EB9">
        <w:rPr>
          <w:rFonts w:ascii="Arial" w:hAnsi="Arial"/>
          <w:b/>
          <w:sz w:val="18"/>
          <w:szCs w:val="18"/>
        </w:rPr>
        <w:t xml:space="preserve"> </w:t>
      </w:r>
      <w:r w:rsidR="002A3101" w:rsidRPr="00707EB9">
        <w:rPr>
          <w:rFonts w:ascii="Arial" w:hAnsi="Arial"/>
          <w:b/>
          <w:sz w:val="18"/>
          <w:szCs w:val="18"/>
        </w:rPr>
        <w:t>w centralnych dzielnicach biznesowych (CBD).</w:t>
      </w:r>
    </w:p>
    <w:p w14:paraId="0B3E71A6" w14:textId="1B9356D0" w:rsidR="00707EB9" w:rsidRPr="005277F3" w:rsidRDefault="002A3101" w:rsidP="005277F3">
      <w:pPr>
        <w:pStyle w:val="Akapitzlist"/>
        <w:numPr>
          <w:ilvl w:val="0"/>
          <w:numId w:val="28"/>
        </w:numPr>
        <w:spacing w:before="100" w:beforeAutospacing="1" w:after="240"/>
        <w:ind w:left="714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707EB9">
        <w:rPr>
          <w:rFonts w:ascii="Arial" w:hAnsi="Arial" w:cs="Arial"/>
          <w:b/>
          <w:bCs/>
          <w:sz w:val="18"/>
          <w:szCs w:val="18"/>
        </w:rPr>
        <w:t>Na znaczeniu zyskuje także se</w:t>
      </w:r>
      <w:r w:rsidR="00D4517D" w:rsidRPr="00707EB9">
        <w:rPr>
          <w:rFonts w:ascii="Arial" w:hAnsi="Arial" w:cs="Arial"/>
          <w:b/>
          <w:bCs/>
          <w:sz w:val="18"/>
          <w:szCs w:val="18"/>
        </w:rPr>
        <w:t xml:space="preserve">ktor inwestycji alternatywnych. </w:t>
      </w:r>
      <w:r w:rsidR="0073625D" w:rsidRPr="00707EB9">
        <w:rPr>
          <w:rFonts w:ascii="Arial" w:hAnsi="Arial" w:cs="Arial"/>
          <w:b/>
          <w:bCs/>
          <w:sz w:val="18"/>
          <w:szCs w:val="18"/>
        </w:rPr>
        <w:t>Jest on</w:t>
      </w:r>
      <w:r w:rsidRPr="00707EB9">
        <w:rPr>
          <w:rFonts w:ascii="Arial" w:hAnsi="Arial" w:cs="Arial"/>
          <w:b/>
          <w:bCs/>
          <w:sz w:val="18"/>
          <w:szCs w:val="18"/>
        </w:rPr>
        <w:t xml:space="preserve"> coraz bardziej pop</w:t>
      </w:r>
      <w:r w:rsidR="009F1C97" w:rsidRPr="00707EB9">
        <w:rPr>
          <w:rFonts w:ascii="Arial" w:hAnsi="Arial" w:cs="Arial"/>
          <w:b/>
          <w:bCs/>
          <w:sz w:val="18"/>
          <w:szCs w:val="18"/>
        </w:rPr>
        <w:t xml:space="preserve">ularny wśród inwestorów, którzy </w:t>
      </w:r>
      <w:r w:rsidRPr="00707EB9">
        <w:rPr>
          <w:rFonts w:ascii="Arial" w:hAnsi="Arial" w:cs="Arial"/>
          <w:b/>
          <w:bCs/>
          <w:sz w:val="18"/>
          <w:szCs w:val="18"/>
        </w:rPr>
        <w:t xml:space="preserve">chcą </w:t>
      </w:r>
      <w:r w:rsidR="00480B3A" w:rsidRPr="00707EB9">
        <w:rPr>
          <w:rFonts w:ascii="Arial" w:hAnsi="Arial" w:cs="Arial"/>
          <w:b/>
          <w:bCs/>
          <w:sz w:val="18"/>
          <w:szCs w:val="18"/>
        </w:rPr>
        <w:t>uwzględnić element wartoś</w:t>
      </w:r>
      <w:r w:rsidR="00F65825">
        <w:rPr>
          <w:rFonts w:ascii="Arial" w:hAnsi="Arial" w:cs="Arial"/>
          <w:b/>
          <w:bCs/>
          <w:sz w:val="18"/>
          <w:szCs w:val="18"/>
        </w:rPr>
        <w:t>ci dodanej w swoich portfelach.</w:t>
      </w:r>
      <w:bookmarkStart w:id="0" w:name="_GoBack"/>
      <w:bookmarkEnd w:id="0"/>
    </w:p>
    <w:p w14:paraId="5BB3C2EF" w14:textId="488F462D" w:rsidR="005F5AFD" w:rsidRPr="00707EB9" w:rsidRDefault="00CD4F6F" w:rsidP="005277F3">
      <w:pPr>
        <w:spacing w:after="120" w:line="360" w:lineRule="auto"/>
        <w:jc w:val="both"/>
        <w:rPr>
          <w:rFonts w:ascii="Arial" w:hAnsi="Arial"/>
        </w:rPr>
      </w:pPr>
      <w:r w:rsidRPr="00707EB9">
        <w:rPr>
          <w:rFonts w:ascii="Arial" w:hAnsi="Arial"/>
          <w:b/>
        </w:rPr>
        <w:t>26 listopada</w:t>
      </w:r>
      <w:r w:rsidR="009F44FF" w:rsidRPr="00707EB9">
        <w:rPr>
          <w:rFonts w:ascii="Arial" w:hAnsi="Arial"/>
          <w:b/>
        </w:rPr>
        <w:t xml:space="preserve"> 2020 r</w:t>
      </w:r>
      <w:r w:rsidR="008A20CE" w:rsidRPr="00707EB9">
        <w:rPr>
          <w:rFonts w:ascii="Arial" w:hAnsi="Arial"/>
          <w:b/>
        </w:rPr>
        <w:t>.</w:t>
      </w:r>
      <w:r w:rsidR="00153D2F" w:rsidRPr="00707EB9">
        <w:rPr>
          <w:rFonts w:ascii="Arial" w:hAnsi="Arial"/>
        </w:rPr>
        <w:t xml:space="preserve"> </w:t>
      </w:r>
      <w:proofErr w:type="spellStart"/>
      <w:r w:rsidR="008A20CE" w:rsidRPr="00707EB9">
        <w:rPr>
          <w:rFonts w:ascii="Arial" w:hAnsi="Arial"/>
        </w:rPr>
        <w:t>Savills</w:t>
      </w:r>
      <w:proofErr w:type="spellEnd"/>
      <w:r w:rsidR="008A20CE" w:rsidRPr="00707EB9">
        <w:rPr>
          <w:rFonts w:ascii="Arial" w:hAnsi="Arial"/>
        </w:rPr>
        <w:t xml:space="preserve"> Investment Management</w:t>
      </w:r>
      <w:r w:rsidR="00106751" w:rsidRPr="00707EB9">
        <w:rPr>
          <w:rFonts w:ascii="Arial" w:hAnsi="Arial"/>
        </w:rPr>
        <w:t xml:space="preserve"> (</w:t>
      </w:r>
      <w:proofErr w:type="spellStart"/>
      <w:r w:rsidR="00106751" w:rsidRPr="00707EB9">
        <w:rPr>
          <w:rFonts w:ascii="Arial" w:hAnsi="Arial"/>
        </w:rPr>
        <w:t>Savills</w:t>
      </w:r>
      <w:proofErr w:type="spellEnd"/>
      <w:r w:rsidR="00106751" w:rsidRPr="00707EB9">
        <w:rPr>
          <w:rFonts w:ascii="Arial" w:hAnsi="Arial"/>
        </w:rPr>
        <w:t xml:space="preserve"> IM)</w:t>
      </w:r>
      <w:r w:rsidR="00C214FE" w:rsidRPr="00707EB9">
        <w:rPr>
          <w:rFonts w:ascii="Arial" w:hAnsi="Arial"/>
        </w:rPr>
        <w:t xml:space="preserve">, </w:t>
      </w:r>
      <w:r w:rsidR="009F44FF" w:rsidRPr="00707EB9">
        <w:rPr>
          <w:rFonts w:ascii="Arial" w:hAnsi="Arial"/>
        </w:rPr>
        <w:t xml:space="preserve">międzynarodowy menedżer inwestycyjny </w:t>
      </w:r>
      <w:r w:rsidR="005F5AFD" w:rsidRPr="00707EB9">
        <w:rPr>
          <w:rFonts w:ascii="Arial" w:hAnsi="Arial"/>
        </w:rPr>
        <w:t xml:space="preserve">rynku nieruchomości prognozuje, że biura w centralnych dzielnicach biznesowych miast (CBD), supermarkety i parki handlowe z rozbudowaną ofertą gastronomiczną oraz centra logistyczne w kluczowych lokalizacjach w Europie będą </w:t>
      </w:r>
      <w:r w:rsidR="00E56AF0" w:rsidRPr="00707EB9">
        <w:rPr>
          <w:rFonts w:ascii="Arial" w:hAnsi="Arial"/>
        </w:rPr>
        <w:t>najbardziej atrakcyjnymi</w:t>
      </w:r>
      <w:r w:rsidR="005F5AFD" w:rsidRPr="00707EB9">
        <w:rPr>
          <w:rFonts w:ascii="Arial" w:hAnsi="Arial"/>
        </w:rPr>
        <w:t xml:space="preserve"> </w:t>
      </w:r>
      <w:r w:rsidR="00E56AF0" w:rsidRPr="00707EB9">
        <w:rPr>
          <w:rFonts w:ascii="Arial" w:hAnsi="Arial"/>
        </w:rPr>
        <w:t>klasami aktywów</w:t>
      </w:r>
      <w:r w:rsidR="00014BE1" w:rsidRPr="00707EB9">
        <w:rPr>
          <w:rFonts w:ascii="Arial" w:hAnsi="Arial"/>
        </w:rPr>
        <w:t xml:space="preserve"> w 2021 roku. Zdaniem </w:t>
      </w:r>
      <w:proofErr w:type="spellStart"/>
      <w:r w:rsidR="00014BE1" w:rsidRPr="00707EB9">
        <w:rPr>
          <w:rFonts w:ascii="Arial" w:hAnsi="Arial"/>
        </w:rPr>
        <w:t>Savills</w:t>
      </w:r>
      <w:proofErr w:type="spellEnd"/>
      <w:r w:rsidR="00014BE1" w:rsidRPr="00707EB9">
        <w:rPr>
          <w:rFonts w:ascii="Arial" w:hAnsi="Arial"/>
        </w:rPr>
        <w:t xml:space="preserve"> IM</w:t>
      </w:r>
      <w:r w:rsidR="001F3761" w:rsidRPr="00707EB9">
        <w:rPr>
          <w:rFonts w:ascii="Arial" w:hAnsi="Arial"/>
        </w:rPr>
        <w:t>, popularność tych aktywów będzie rosła wraz z</w:t>
      </w:r>
      <w:r w:rsidR="000D2D72">
        <w:rPr>
          <w:rFonts w:ascii="Arial" w:hAnsi="Arial"/>
        </w:rPr>
        <w:t>e stopniowym</w:t>
      </w:r>
      <w:r w:rsidR="001F3761" w:rsidRPr="00707EB9">
        <w:rPr>
          <w:rFonts w:ascii="Arial" w:hAnsi="Arial"/>
        </w:rPr>
        <w:t xml:space="preserve"> </w:t>
      </w:r>
      <w:r w:rsidR="0073625D" w:rsidRPr="00707EB9">
        <w:rPr>
          <w:rFonts w:ascii="Arial" w:hAnsi="Arial"/>
        </w:rPr>
        <w:t>powrotem zaufania inwestorów</w:t>
      </w:r>
      <w:r w:rsidR="001F3761" w:rsidRPr="00707EB9">
        <w:rPr>
          <w:rFonts w:ascii="Arial" w:hAnsi="Arial"/>
        </w:rPr>
        <w:t xml:space="preserve"> po kryzysie wywoł</w:t>
      </w:r>
      <w:r w:rsidR="00B800F1" w:rsidRPr="00707EB9">
        <w:rPr>
          <w:rFonts w:ascii="Arial" w:hAnsi="Arial"/>
        </w:rPr>
        <w:t>anym przez</w:t>
      </w:r>
      <w:r w:rsidR="001F3761" w:rsidRPr="00707EB9">
        <w:rPr>
          <w:rFonts w:ascii="Arial" w:hAnsi="Arial"/>
        </w:rPr>
        <w:t xml:space="preserve"> COVID-19.</w:t>
      </w:r>
    </w:p>
    <w:p w14:paraId="6C9A5AF6" w14:textId="43DC9CD8" w:rsidR="00B800F1" w:rsidRPr="00707EB9" w:rsidRDefault="00312337" w:rsidP="005277F3">
      <w:pPr>
        <w:spacing w:after="120" w:line="360" w:lineRule="auto"/>
        <w:jc w:val="both"/>
        <w:rPr>
          <w:rFonts w:ascii="Arial" w:hAnsi="Arial"/>
        </w:rPr>
      </w:pPr>
      <w:r w:rsidRPr="00707EB9">
        <w:rPr>
          <w:rFonts w:ascii="Arial" w:hAnsi="Arial"/>
        </w:rPr>
        <w:t>Chociaż</w:t>
      </w:r>
      <w:r w:rsidR="00D375F0" w:rsidRPr="00707EB9">
        <w:rPr>
          <w:rFonts w:ascii="Arial" w:hAnsi="Arial"/>
        </w:rPr>
        <w:t xml:space="preserve"> </w:t>
      </w:r>
      <w:r w:rsidR="00516B37" w:rsidRPr="00707EB9">
        <w:rPr>
          <w:rFonts w:ascii="Arial" w:hAnsi="Arial"/>
        </w:rPr>
        <w:t xml:space="preserve">w </w:t>
      </w:r>
      <w:r w:rsidR="002712C0" w:rsidRPr="00707EB9">
        <w:rPr>
          <w:rFonts w:ascii="Arial" w:hAnsi="Arial"/>
        </w:rPr>
        <w:t xml:space="preserve">przyszłym </w:t>
      </w:r>
      <w:r w:rsidR="00516B37" w:rsidRPr="00707EB9">
        <w:rPr>
          <w:rFonts w:ascii="Arial" w:hAnsi="Arial"/>
        </w:rPr>
        <w:t>roku</w:t>
      </w:r>
      <w:r w:rsidR="00B800F1" w:rsidRPr="00707EB9">
        <w:rPr>
          <w:rFonts w:ascii="Arial" w:hAnsi="Arial"/>
        </w:rPr>
        <w:t xml:space="preserve"> </w:t>
      </w:r>
      <w:r w:rsidR="00322126" w:rsidRPr="00707EB9">
        <w:rPr>
          <w:rFonts w:ascii="Arial" w:hAnsi="Arial"/>
        </w:rPr>
        <w:t>zatrzymanie</w:t>
      </w:r>
      <w:r w:rsidR="00B800F1" w:rsidRPr="00707EB9">
        <w:rPr>
          <w:rFonts w:ascii="Arial" w:hAnsi="Arial"/>
        </w:rPr>
        <w:t xml:space="preserve"> pandemii pozostanie </w:t>
      </w:r>
      <w:r w:rsidR="00D375F0" w:rsidRPr="00707EB9">
        <w:rPr>
          <w:rFonts w:ascii="Arial" w:hAnsi="Arial"/>
        </w:rPr>
        <w:t>tematem numer jeden</w:t>
      </w:r>
      <w:r w:rsidR="00B800F1" w:rsidRPr="00707EB9">
        <w:rPr>
          <w:rFonts w:ascii="Arial" w:hAnsi="Arial"/>
        </w:rPr>
        <w:t xml:space="preserve">, </w:t>
      </w:r>
      <w:r w:rsidR="002712C0" w:rsidRPr="00707EB9">
        <w:rPr>
          <w:rFonts w:ascii="Arial" w:hAnsi="Arial"/>
        </w:rPr>
        <w:t xml:space="preserve">rok 2021 </w:t>
      </w:r>
      <w:r w:rsidR="00B800F1" w:rsidRPr="00707EB9">
        <w:rPr>
          <w:rFonts w:ascii="Arial" w:hAnsi="Arial"/>
        </w:rPr>
        <w:t xml:space="preserve">będzie </w:t>
      </w:r>
      <w:r w:rsidR="00BC7C7A" w:rsidRPr="00707EB9">
        <w:rPr>
          <w:rFonts w:ascii="Arial" w:hAnsi="Arial"/>
        </w:rPr>
        <w:t>obfitował</w:t>
      </w:r>
      <w:r w:rsidR="00D53085" w:rsidRPr="00707EB9">
        <w:rPr>
          <w:rFonts w:ascii="Arial" w:hAnsi="Arial"/>
        </w:rPr>
        <w:t xml:space="preserve"> w inne </w:t>
      </w:r>
      <w:r w:rsidR="00B800F1" w:rsidRPr="00707EB9">
        <w:rPr>
          <w:rFonts w:ascii="Arial" w:hAnsi="Arial"/>
        </w:rPr>
        <w:t>wyzwania. W pełni doświadczymy skutków opuszczenia Unii Europejskiej przez Wielką Brytanię. Widoczne będą ryzyka związane z</w:t>
      </w:r>
      <w:r w:rsidR="002712C0" w:rsidRPr="00707EB9">
        <w:rPr>
          <w:rFonts w:ascii="Arial" w:hAnsi="Arial"/>
        </w:rPr>
        <w:t>e zmianami</w:t>
      </w:r>
      <w:r w:rsidR="00B800F1" w:rsidRPr="00707EB9">
        <w:rPr>
          <w:rFonts w:ascii="Arial" w:hAnsi="Arial"/>
        </w:rPr>
        <w:t xml:space="preserve"> klimat</w:t>
      </w:r>
      <w:r w:rsidR="002712C0" w:rsidRPr="00707EB9">
        <w:rPr>
          <w:rFonts w:ascii="Arial" w:hAnsi="Arial"/>
        </w:rPr>
        <w:t>ycznymi</w:t>
      </w:r>
      <w:r w:rsidR="00B800F1" w:rsidRPr="00707EB9">
        <w:rPr>
          <w:rFonts w:ascii="Arial" w:hAnsi="Arial"/>
        </w:rPr>
        <w:t xml:space="preserve">, rosnącymi nierównościami </w:t>
      </w:r>
      <w:r w:rsidR="00C22BDD">
        <w:rPr>
          <w:rFonts w:ascii="Arial" w:hAnsi="Arial"/>
        </w:rPr>
        <w:br/>
      </w:r>
      <w:r w:rsidR="00B800F1" w:rsidRPr="00707EB9">
        <w:rPr>
          <w:rFonts w:ascii="Arial" w:hAnsi="Arial"/>
        </w:rPr>
        <w:t>i utrzymującymi się napięciami geopolitycznymi, co może stanowić zagrożenie dla</w:t>
      </w:r>
      <w:r w:rsidR="00D4517D" w:rsidRPr="00707EB9">
        <w:rPr>
          <w:rFonts w:ascii="Arial" w:hAnsi="Arial"/>
        </w:rPr>
        <w:t xml:space="preserve"> globalnej </w:t>
      </w:r>
      <w:r w:rsidR="00B800F1" w:rsidRPr="00707EB9">
        <w:rPr>
          <w:rFonts w:ascii="Arial" w:hAnsi="Arial"/>
        </w:rPr>
        <w:t xml:space="preserve">stabilności. </w:t>
      </w:r>
      <w:r w:rsidR="002712C0" w:rsidRPr="00707EB9">
        <w:rPr>
          <w:rFonts w:ascii="Arial" w:hAnsi="Arial"/>
        </w:rPr>
        <w:t>Dlatego u</w:t>
      </w:r>
      <w:r w:rsidR="008D7A06" w:rsidRPr="00707EB9">
        <w:rPr>
          <w:rFonts w:ascii="Arial" w:hAnsi="Arial"/>
        </w:rPr>
        <w:t>względnianie negatywnego wpływu tych zjawisk na istniejące portfele oraz</w:t>
      </w:r>
      <w:r w:rsidR="002712C0" w:rsidRPr="00707EB9">
        <w:rPr>
          <w:rFonts w:ascii="Arial" w:hAnsi="Arial"/>
        </w:rPr>
        <w:t xml:space="preserve"> </w:t>
      </w:r>
      <w:r w:rsidR="008D7A06" w:rsidRPr="00707EB9">
        <w:rPr>
          <w:rFonts w:ascii="Arial" w:hAnsi="Arial"/>
        </w:rPr>
        <w:t>now</w:t>
      </w:r>
      <w:r w:rsidR="002712C0" w:rsidRPr="00707EB9">
        <w:rPr>
          <w:rFonts w:ascii="Arial" w:hAnsi="Arial"/>
        </w:rPr>
        <w:t>e</w:t>
      </w:r>
      <w:r w:rsidR="008D7A06" w:rsidRPr="00707EB9">
        <w:rPr>
          <w:rFonts w:ascii="Arial" w:hAnsi="Arial"/>
        </w:rPr>
        <w:t xml:space="preserve"> </w:t>
      </w:r>
      <w:r w:rsidR="002712C0" w:rsidRPr="00707EB9">
        <w:rPr>
          <w:rFonts w:ascii="Arial" w:hAnsi="Arial"/>
        </w:rPr>
        <w:t xml:space="preserve">inwestycje </w:t>
      </w:r>
      <w:r w:rsidR="008D7A06" w:rsidRPr="00707EB9">
        <w:rPr>
          <w:rFonts w:ascii="Arial" w:hAnsi="Arial"/>
        </w:rPr>
        <w:t>zyskuje na znaczeniu.</w:t>
      </w:r>
      <w:r w:rsidR="00D4517D" w:rsidRPr="00707EB9">
        <w:rPr>
          <w:rFonts w:ascii="Arial" w:hAnsi="Arial"/>
        </w:rPr>
        <w:t xml:space="preserve"> </w:t>
      </w:r>
      <w:r w:rsidR="00B800F1" w:rsidRPr="00707EB9">
        <w:rPr>
          <w:rFonts w:ascii="Arial" w:hAnsi="Arial"/>
        </w:rPr>
        <w:t>Częściowo wiąże się to z wykorzystaniem trendów strukturalnych, które wyraźnie przyspieszyły wskutek COVID-19.</w:t>
      </w:r>
    </w:p>
    <w:p w14:paraId="6FBCDB21" w14:textId="5693181A" w:rsidR="00C41140" w:rsidRPr="00707EB9" w:rsidRDefault="007645C7" w:rsidP="005277F3">
      <w:pPr>
        <w:spacing w:after="120" w:line="360" w:lineRule="auto"/>
        <w:jc w:val="both"/>
        <w:rPr>
          <w:rFonts w:ascii="Arial" w:hAnsi="Arial"/>
        </w:rPr>
      </w:pPr>
      <w:proofErr w:type="spellStart"/>
      <w:r w:rsidRPr="00707EB9">
        <w:rPr>
          <w:rFonts w:ascii="Arial" w:hAnsi="Arial"/>
        </w:rPr>
        <w:t>Savills</w:t>
      </w:r>
      <w:proofErr w:type="spellEnd"/>
      <w:r w:rsidRPr="00707EB9">
        <w:rPr>
          <w:rFonts w:ascii="Arial" w:hAnsi="Arial"/>
        </w:rPr>
        <w:t xml:space="preserve"> IM w raporcie </w:t>
      </w:r>
      <w:r w:rsidRPr="00707EB9">
        <w:rPr>
          <w:rFonts w:ascii="Arial" w:hAnsi="Arial"/>
          <w:i/>
          <w:iCs/>
        </w:rPr>
        <w:t>Outlook 2021</w:t>
      </w:r>
      <w:r w:rsidR="002712C0" w:rsidRPr="00707EB9">
        <w:rPr>
          <w:rFonts w:ascii="Arial" w:hAnsi="Arial"/>
          <w:i/>
          <w:iCs/>
        </w:rPr>
        <w:t>:</w:t>
      </w:r>
      <w:r w:rsidRPr="00707EB9">
        <w:rPr>
          <w:rFonts w:ascii="Arial" w:hAnsi="Arial"/>
        </w:rPr>
        <w:t xml:space="preserve"> „</w:t>
      </w:r>
      <w:r w:rsidRPr="00707EB9">
        <w:rPr>
          <w:rFonts w:ascii="Arial" w:hAnsi="Arial"/>
          <w:i/>
        </w:rPr>
        <w:t>Budowanie odporności globalnych portfeli nieruchomości</w:t>
      </w:r>
      <w:r w:rsidRPr="00707EB9">
        <w:rPr>
          <w:rFonts w:ascii="Arial" w:hAnsi="Arial"/>
        </w:rPr>
        <w:t>”, nie przewiduje dalszego pogorszenia sytuacji w sektorze b</w:t>
      </w:r>
      <w:r w:rsidR="00810CD2" w:rsidRPr="00707EB9">
        <w:rPr>
          <w:rFonts w:ascii="Arial" w:hAnsi="Arial"/>
        </w:rPr>
        <w:t xml:space="preserve">iurowym, mimo </w:t>
      </w:r>
      <w:r w:rsidR="000D2D72" w:rsidRPr="00707EB9">
        <w:rPr>
          <w:rFonts w:ascii="Arial" w:hAnsi="Arial"/>
        </w:rPr>
        <w:t>zwiększ</w:t>
      </w:r>
      <w:r w:rsidR="000D2D72">
        <w:rPr>
          <w:rFonts w:ascii="Arial" w:hAnsi="Arial"/>
        </w:rPr>
        <w:t>enia</w:t>
      </w:r>
      <w:r w:rsidR="000D2D72" w:rsidRPr="00707EB9">
        <w:rPr>
          <w:rFonts w:ascii="Arial" w:hAnsi="Arial"/>
        </w:rPr>
        <w:t xml:space="preserve"> </w:t>
      </w:r>
      <w:r w:rsidR="00810CD2" w:rsidRPr="00707EB9">
        <w:rPr>
          <w:rFonts w:ascii="Arial" w:hAnsi="Arial"/>
        </w:rPr>
        <w:t xml:space="preserve">się </w:t>
      </w:r>
      <w:r w:rsidRPr="00707EB9">
        <w:rPr>
          <w:rFonts w:ascii="Arial" w:hAnsi="Arial"/>
        </w:rPr>
        <w:t xml:space="preserve">skali pracy </w:t>
      </w:r>
      <w:r w:rsidR="00810CD2" w:rsidRPr="00707EB9">
        <w:rPr>
          <w:rFonts w:ascii="Arial" w:hAnsi="Arial"/>
        </w:rPr>
        <w:t>elastycznej na skutek pandemii</w:t>
      </w:r>
      <w:r w:rsidRPr="00707EB9">
        <w:rPr>
          <w:rFonts w:ascii="Arial" w:hAnsi="Arial"/>
        </w:rPr>
        <w:t xml:space="preserve">. Dobrze skomunikowane biura zlokalizowane w </w:t>
      </w:r>
      <w:r w:rsidR="002712C0" w:rsidRPr="00707EB9">
        <w:rPr>
          <w:rFonts w:ascii="Arial" w:hAnsi="Arial"/>
        </w:rPr>
        <w:t xml:space="preserve">centralnych obszarach biznesu </w:t>
      </w:r>
      <w:r w:rsidR="00810CD2" w:rsidRPr="00707EB9">
        <w:rPr>
          <w:rFonts w:ascii="Arial" w:hAnsi="Arial"/>
        </w:rPr>
        <w:t>pozostaną ważne</w:t>
      </w:r>
      <w:r w:rsidR="002712C0" w:rsidRPr="00707EB9">
        <w:rPr>
          <w:rFonts w:ascii="Arial" w:hAnsi="Arial"/>
        </w:rPr>
        <w:t>. Z kolei</w:t>
      </w:r>
      <w:r w:rsidRPr="00707EB9">
        <w:rPr>
          <w:rFonts w:ascii="Arial" w:hAnsi="Arial"/>
        </w:rPr>
        <w:t xml:space="preserve"> aktyw</w:t>
      </w:r>
      <w:r w:rsidR="002712C0" w:rsidRPr="00707EB9">
        <w:rPr>
          <w:rFonts w:ascii="Arial" w:hAnsi="Arial"/>
        </w:rPr>
        <w:t>a</w:t>
      </w:r>
      <w:r w:rsidRPr="00707EB9">
        <w:rPr>
          <w:rFonts w:ascii="Arial" w:hAnsi="Arial"/>
        </w:rPr>
        <w:t xml:space="preserve"> </w:t>
      </w:r>
      <w:r w:rsidR="005F2477" w:rsidRPr="00707EB9">
        <w:rPr>
          <w:rFonts w:ascii="Arial" w:hAnsi="Arial"/>
        </w:rPr>
        <w:t>handlow</w:t>
      </w:r>
      <w:r w:rsidR="002712C0" w:rsidRPr="00707EB9">
        <w:rPr>
          <w:rFonts w:ascii="Arial" w:hAnsi="Arial"/>
        </w:rPr>
        <w:t>e</w:t>
      </w:r>
      <w:r w:rsidR="005F2477" w:rsidRPr="00707EB9">
        <w:rPr>
          <w:rFonts w:ascii="Arial" w:hAnsi="Arial"/>
        </w:rPr>
        <w:t xml:space="preserve"> w segmen</w:t>
      </w:r>
      <w:r w:rsidR="00D57618" w:rsidRPr="00707EB9">
        <w:rPr>
          <w:rFonts w:ascii="Arial" w:hAnsi="Arial"/>
        </w:rPr>
        <w:t>cie spożywczym</w:t>
      </w:r>
      <w:r w:rsidR="00810CD2" w:rsidRPr="00707EB9">
        <w:rPr>
          <w:rFonts w:ascii="Arial" w:hAnsi="Arial"/>
        </w:rPr>
        <w:t xml:space="preserve"> wykazują </w:t>
      </w:r>
      <w:r w:rsidR="002712C0" w:rsidRPr="00707EB9">
        <w:rPr>
          <w:rFonts w:ascii="Arial" w:hAnsi="Arial"/>
        </w:rPr>
        <w:t>odporn</w:t>
      </w:r>
      <w:r w:rsidR="00810CD2" w:rsidRPr="00707EB9">
        <w:rPr>
          <w:rFonts w:ascii="Arial" w:hAnsi="Arial"/>
        </w:rPr>
        <w:t>ość na negatywne skutki</w:t>
      </w:r>
      <w:r w:rsidR="008E260F" w:rsidRPr="00707EB9">
        <w:rPr>
          <w:rFonts w:ascii="Arial" w:hAnsi="Arial"/>
        </w:rPr>
        <w:t xml:space="preserve"> pandemii, co jest</w:t>
      </w:r>
      <w:r w:rsidR="00D57618" w:rsidRPr="00707EB9">
        <w:rPr>
          <w:rFonts w:ascii="Arial" w:hAnsi="Arial"/>
        </w:rPr>
        <w:t xml:space="preserve"> </w:t>
      </w:r>
      <w:r w:rsidR="005F2477" w:rsidRPr="00707EB9">
        <w:rPr>
          <w:rFonts w:ascii="Arial" w:hAnsi="Arial"/>
        </w:rPr>
        <w:t>impuls</w:t>
      </w:r>
      <w:r w:rsidR="008E260F" w:rsidRPr="00707EB9">
        <w:rPr>
          <w:rFonts w:ascii="Arial" w:hAnsi="Arial"/>
        </w:rPr>
        <w:t>em</w:t>
      </w:r>
      <w:r w:rsidR="005F2477" w:rsidRPr="00707EB9">
        <w:rPr>
          <w:rFonts w:ascii="Arial" w:hAnsi="Arial"/>
        </w:rPr>
        <w:t xml:space="preserve"> do</w:t>
      </w:r>
      <w:r w:rsidR="008E260F" w:rsidRPr="00707EB9">
        <w:rPr>
          <w:rFonts w:ascii="Arial" w:hAnsi="Arial"/>
        </w:rPr>
        <w:t xml:space="preserve"> ich</w:t>
      </w:r>
      <w:r w:rsidR="005F2477" w:rsidRPr="00707EB9">
        <w:rPr>
          <w:rFonts w:ascii="Arial" w:hAnsi="Arial"/>
        </w:rPr>
        <w:t xml:space="preserve"> zakupu </w:t>
      </w:r>
      <w:r w:rsidR="008E260F" w:rsidRPr="00707EB9">
        <w:rPr>
          <w:rFonts w:ascii="Arial" w:hAnsi="Arial"/>
        </w:rPr>
        <w:t xml:space="preserve">przez </w:t>
      </w:r>
      <w:r w:rsidR="005F2477" w:rsidRPr="00707EB9">
        <w:rPr>
          <w:rFonts w:ascii="Arial" w:hAnsi="Arial"/>
        </w:rPr>
        <w:t xml:space="preserve">inwestorów typu </w:t>
      </w:r>
      <w:proofErr w:type="spellStart"/>
      <w:r w:rsidR="005F2477" w:rsidRPr="00707EB9">
        <w:rPr>
          <w:rFonts w:ascii="Arial" w:hAnsi="Arial"/>
        </w:rPr>
        <w:t>core</w:t>
      </w:r>
      <w:proofErr w:type="spellEnd"/>
      <w:r w:rsidR="005F2477" w:rsidRPr="00707EB9">
        <w:rPr>
          <w:rFonts w:ascii="Arial" w:hAnsi="Arial"/>
        </w:rPr>
        <w:t xml:space="preserve"> i </w:t>
      </w:r>
      <w:proofErr w:type="spellStart"/>
      <w:r w:rsidR="005F2477" w:rsidRPr="00707EB9">
        <w:rPr>
          <w:rFonts w:ascii="Arial" w:hAnsi="Arial"/>
        </w:rPr>
        <w:t>core</w:t>
      </w:r>
      <w:proofErr w:type="spellEnd"/>
      <w:r w:rsidR="005F2477" w:rsidRPr="00707EB9">
        <w:rPr>
          <w:rFonts w:ascii="Arial" w:hAnsi="Arial"/>
        </w:rPr>
        <w:t xml:space="preserve">-plus. W raporcie podkreślono, że sektor logistyczny, który jest wyraźnym wygranym czasu pandemii ze względu na wzrosty </w:t>
      </w:r>
      <w:r w:rsidR="00764658" w:rsidRPr="00707EB9">
        <w:rPr>
          <w:rFonts w:ascii="Arial" w:hAnsi="Arial"/>
        </w:rPr>
        <w:t xml:space="preserve">udziału sprzedaży </w:t>
      </w:r>
      <w:r w:rsidR="005F2477" w:rsidRPr="00707EB9">
        <w:rPr>
          <w:rFonts w:ascii="Arial" w:hAnsi="Arial"/>
        </w:rPr>
        <w:t xml:space="preserve">online, nadal będzie </w:t>
      </w:r>
      <w:r w:rsidRPr="00707EB9">
        <w:rPr>
          <w:rFonts w:ascii="Arial" w:hAnsi="Arial"/>
        </w:rPr>
        <w:t>wsp</w:t>
      </w:r>
      <w:r w:rsidR="009D3223" w:rsidRPr="00707EB9">
        <w:rPr>
          <w:rFonts w:ascii="Arial" w:hAnsi="Arial"/>
        </w:rPr>
        <w:t>ierany</w:t>
      </w:r>
      <w:r w:rsidRPr="00707EB9">
        <w:rPr>
          <w:rFonts w:ascii="Arial" w:hAnsi="Arial"/>
        </w:rPr>
        <w:t xml:space="preserve"> solidny</w:t>
      </w:r>
      <w:r w:rsidR="009D3223" w:rsidRPr="00707EB9">
        <w:rPr>
          <w:rFonts w:ascii="Arial" w:hAnsi="Arial"/>
        </w:rPr>
        <w:t>mi</w:t>
      </w:r>
      <w:r w:rsidRPr="00707EB9">
        <w:rPr>
          <w:rFonts w:ascii="Arial" w:hAnsi="Arial"/>
        </w:rPr>
        <w:t xml:space="preserve"> </w:t>
      </w:r>
      <w:r w:rsidR="00690E5C" w:rsidRPr="00707EB9">
        <w:rPr>
          <w:rFonts w:ascii="Arial" w:hAnsi="Arial"/>
        </w:rPr>
        <w:t>czynnik</w:t>
      </w:r>
      <w:r w:rsidR="009D3223" w:rsidRPr="00707EB9">
        <w:rPr>
          <w:rFonts w:ascii="Arial" w:hAnsi="Arial"/>
        </w:rPr>
        <w:t>ami</w:t>
      </w:r>
      <w:r w:rsidR="00690E5C" w:rsidRPr="00707EB9">
        <w:rPr>
          <w:rFonts w:ascii="Arial" w:hAnsi="Arial"/>
        </w:rPr>
        <w:t xml:space="preserve"> fundamentalny</w:t>
      </w:r>
      <w:r w:rsidR="009D3223" w:rsidRPr="00707EB9">
        <w:rPr>
          <w:rFonts w:ascii="Arial" w:hAnsi="Arial"/>
        </w:rPr>
        <w:t>mi</w:t>
      </w:r>
      <w:r w:rsidR="00690E5C" w:rsidRPr="00707EB9">
        <w:rPr>
          <w:rFonts w:ascii="Arial" w:hAnsi="Arial"/>
        </w:rPr>
        <w:t xml:space="preserve"> </w:t>
      </w:r>
      <w:r w:rsidRPr="00707EB9">
        <w:rPr>
          <w:rFonts w:ascii="Arial" w:hAnsi="Arial"/>
        </w:rPr>
        <w:t xml:space="preserve">i </w:t>
      </w:r>
      <w:r w:rsidR="00690E5C" w:rsidRPr="00707EB9">
        <w:rPr>
          <w:rFonts w:ascii="Arial" w:hAnsi="Arial"/>
        </w:rPr>
        <w:t>pozytywny</w:t>
      </w:r>
      <w:r w:rsidR="009D3223" w:rsidRPr="00707EB9">
        <w:rPr>
          <w:rFonts w:ascii="Arial" w:hAnsi="Arial"/>
        </w:rPr>
        <w:t xml:space="preserve">mi </w:t>
      </w:r>
      <w:r w:rsidR="00690E5C" w:rsidRPr="00707EB9">
        <w:rPr>
          <w:rFonts w:ascii="Arial" w:hAnsi="Arial"/>
        </w:rPr>
        <w:t>zmian</w:t>
      </w:r>
      <w:r w:rsidR="009D3223" w:rsidRPr="00707EB9">
        <w:rPr>
          <w:rFonts w:ascii="Arial" w:hAnsi="Arial"/>
        </w:rPr>
        <w:t>ami</w:t>
      </w:r>
      <w:r w:rsidR="00764658" w:rsidRPr="00707EB9">
        <w:rPr>
          <w:rFonts w:ascii="Arial" w:hAnsi="Arial"/>
        </w:rPr>
        <w:t xml:space="preserve"> strukturalny</w:t>
      </w:r>
      <w:r w:rsidR="009D3223" w:rsidRPr="00707EB9">
        <w:rPr>
          <w:rFonts w:ascii="Arial" w:hAnsi="Arial"/>
        </w:rPr>
        <w:t>mi</w:t>
      </w:r>
      <w:r w:rsidR="00764658" w:rsidRPr="00707EB9">
        <w:rPr>
          <w:rFonts w:ascii="Arial" w:hAnsi="Arial"/>
        </w:rPr>
        <w:t>.</w:t>
      </w:r>
      <w:r w:rsidR="005F2477" w:rsidRPr="00707EB9">
        <w:rPr>
          <w:rFonts w:ascii="Arial" w:hAnsi="Arial"/>
        </w:rPr>
        <w:t xml:space="preserve"> P</w:t>
      </w:r>
      <w:r w:rsidRPr="00707EB9">
        <w:rPr>
          <w:rFonts w:ascii="Arial" w:hAnsi="Arial"/>
        </w:rPr>
        <w:t xml:space="preserve">rzy niskiej rentowności tradycyjnych </w:t>
      </w:r>
      <w:r w:rsidR="00690E5C" w:rsidRPr="00707EB9">
        <w:rPr>
          <w:rFonts w:ascii="Arial" w:hAnsi="Arial"/>
        </w:rPr>
        <w:t xml:space="preserve">klas </w:t>
      </w:r>
      <w:r w:rsidRPr="00707EB9">
        <w:rPr>
          <w:rFonts w:ascii="Arial" w:hAnsi="Arial"/>
        </w:rPr>
        <w:t xml:space="preserve">nieruchomości – biurowych, przemysłowych i handlowych – inwestorzy poszukują </w:t>
      </w:r>
      <w:r w:rsidR="005F2477" w:rsidRPr="00707EB9">
        <w:rPr>
          <w:rFonts w:ascii="Arial" w:hAnsi="Arial"/>
        </w:rPr>
        <w:t xml:space="preserve"> a</w:t>
      </w:r>
      <w:r w:rsidR="00D53085" w:rsidRPr="00707EB9">
        <w:rPr>
          <w:rFonts w:ascii="Arial" w:hAnsi="Arial"/>
        </w:rPr>
        <w:t>lternatywnych segmentów, takich</w:t>
      </w:r>
      <w:r w:rsidR="005F2477" w:rsidRPr="00707EB9">
        <w:rPr>
          <w:rFonts w:ascii="Arial" w:hAnsi="Arial"/>
        </w:rPr>
        <w:t xml:space="preserve"> jak: prywatne akademiki i domy dla studentów, mieszkania na wynajem czy</w:t>
      </w:r>
      <w:r w:rsidRPr="00707EB9">
        <w:rPr>
          <w:rFonts w:ascii="Arial" w:hAnsi="Arial"/>
        </w:rPr>
        <w:t xml:space="preserve"> </w:t>
      </w:r>
      <w:r w:rsidR="00690E5C" w:rsidRPr="00707EB9">
        <w:rPr>
          <w:rFonts w:ascii="Arial" w:hAnsi="Arial"/>
        </w:rPr>
        <w:t xml:space="preserve">domy </w:t>
      </w:r>
      <w:r w:rsidR="005F2477" w:rsidRPr="00707EB9">
        <w:rPr>
          <w:rFonts w:ascii="Arial" w:hAnsi="Arial"/>
        </w:rPr>
        <w:t xml:space="preserve">senioralne. </w:t>
      </w:r>
    </w:p>
    <w:p w14:paraId="3F89928F" w14:textId="7BB148AD" w:rsidR="00C41140" w:rsidRPr="00707EB9" w:rsidRDefault="00C41140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>Z najnowszych badań</w:t>
      </w:r>
      <w:r w:rsidRPr="00707EB9">
        <w:rPr>
          <w:rFonts w:ascii="Arial" w:eastAsia="Calibri" w:hAnsi="Arial" w:cs="Calibri"/>
          <w:vertAlign w:val="superscript"/>
        </w:rPr>
        <w:t>1</w:t>
      </w:r>
      <w:r w:rsidRPr="00707EB9">
        <w:rPr>
          <w:rFonts w:ascii="Arial" w:eastAsia="Calibri" w:hAnsi="Arial" w:cs="Calibri"/>
        </w:rPr>
        <w:t xml:space="preserve"> ujętych w raporcie wynika, że 59% inwestorów na całym świecie spodziewa się ożywienia na rynkach nieruchomości w Europie w 2021 r., a nieco ponad połowa (52%) przewiduje, że rozpocznie się ono pomiędzy II a IV kwartałem przyszłego roku. Ponad 45% inwestorów wskazuje, że inwestycje w nieruchomości wzrosną w ciągu najbliższych 12 miesięcy, a 25% uważa, że poziom inwestycji nie ulegnie zmianie.</w:t>
      </w:r>
    </w:p>
    <w:p w14:paraId="244E2572" w14:textId="6BC8A3F5" w:rsidR="00C41140" w:rsidRPr="00707EB9" w:rsidRDefault="00C41140" w:rsidP="005277F3">
      <w:pPr>
        <w:spacing w:after="120" w:line="360" w:lineRule="auto"/>
        <w:jc w:val="both"/>
        <w:rPr>
          <w:rFonts w:ascii="Arial" w:eastAsia="Calibri" w:hAnsi="Arial" w:cs="Calibri"/>
          <w:lang w:val="en-US"/>
        </w:rPr>
      </w:pPr>
      <w:r w:rsidRPr="00707EB9">
        <w:rPr>
          <w:rFonts w:ascii="Arial" w:eastAsia="Calibri" w:hAnsi="Arial" w:cs="Calibri"/>
          <w:b/>
          <w:lang w:val="en-US"/>
        </w:rPr>
        <w:lastRenderedPageBreak/>
        <w:t>Andreas Trumpp, Head of Research, Europe, w Savills IM</w:t>
      </w:r>
      <w:r w:rsidRPr="00707EB9">
        <w:rPr>
          <w:rFonts w:ascii="Arial" w:eastAsia="Calibri" w:hAnsi="Arial" w:cs="Calibri"/>
          <w:lang w:val="en-US"/>
        </w:rPr>
        <w:t xml:space="preserve">, </w:t>
      </w:r>
      <w:proofErr w:type="spellStart"/>
      <w:r w:rsidRPr="00707EB9">
        <w:rPr>
          <w:rFonts w:ascii="Arial" w:eastAsia="Calibri" w:hAnsi="Arial" w:cs="Calibri"/>
          <w:lang w:val="en-US"/>
        </w:rPr>
        <w:t>skomentował</w:t>
      </w:r>
      <w:proofErr w:type="spellEnd"/>
      <w:r w:rsidRPr="00707EB9">
        <w:rPr>
          <w:rFonts w:ascii="Arial" w:eastAsia="Calibri" w:hAnsi="Arial" w:cs="Calibri"/>
          <w:lang w:val="en-US"/>
        </w:rPr>
        <w:t>:</w:t>
      </w:r>
    </w:p>
    <w:p w14:paraId="07D20BC8" w14:textId="75D728CF" w:rsidR="00C3014A" w:rsidRPr="00707EB9" w:rsidRDefault="00C3014A" w:rsidP="005277F3">
      <w:pPr>
        <w:spacing w:after="120" w:line="360" w:lineRule="auto"/>
        <w:jc w:val="both"/>
        <w:rPr>
          <w:rFonts w:ascii="Arial" w:eastAsia="Calibri" w:hAnsi="Arial" w:cs="Calibri"/>
          <w:i/>
        </w:rPr>
      </w:pPr>
      <w:r w:rsidRPr="00707EB9">
        <w:rPr>
          <w:rFonts w:ascii="Arial" w:eastAsia="Calibri" w:hAnsi="Arial" w:cs="Calibri"/>
        </w:rPr>
        <w:t>„</w:t>
      </w:r>
      <w:r w:rsidRPr="00707EB9">
        <w:rPr>
          <w:rFonts w:ascii="Arial" w:eastAsia="Calibri" w:hAnsi="Arial" w:cs="Calibri"/>
          <w:i/>
        </w:rPr>
        <w:t>Przeprowadzone przez nas badania pokazują, że inwestorzy są pewni 2021 roku, a niedawne pozytywne doniesienia dot</w:t>
      </w:r>
      <w:r w:rsidR="00D53085" w:rsidRPr="00707EB9">
        <w:rPr>
          <w:rFonts w:ascii="Arial" w:eastAsia="Calibri" w:hAnsi="Arial" w:cs="Calibri"/>
          <w:i/>
        </w:rPr>
        <w:t xml:space="preserve">yczące dostępności szczepionki </w:t>
      </w:r>
      <w:r w:rsidRPr="00707EB9">
        <w:rPr>
          <w:rFonts w:ascii="Arial" w:eastAsia="Calibri" w:hAnsi="Arial" w:cs="Calibri"/>
          <w:i/>
        </w:rPr>
        <w:t xml:space="preserve">mogą dodatkowo przyspieszyć ożywienie </w:t>
      </w:r>
      <w:r w:rsidR="00810CD2" w:rsidRPr="00707EB9">
        <w:rPr>
          <w:rFonts w:ascii="Arial" w:eastAsia="Calibri" w:hAnsi="Arial" w:cs="Calibri"/>
          <w:i/>
        </w:rPr>
        <w:t>gospodarcze, poprawić</w:t>
      </w:r>
      <w:r w:rsidR="00D53085" w:rsidRPr="00707EB9">
        <w:rPr>
          <w:rFonts w:ascii="Arial" w:eastAsia="Calibri" w:hAnsi="Arial" w:cs="Calibri"/>
          <w:i/>
        </w:rPr>
        <w:t xml:space="preserve"> nastroje </w:t>
      </w:r>
      <w:r w:rsidRPr="00707EB9">
        <w:rPr>
          <w:rFonts w:ascii="Arial" w:eastAsia="Calibri" w:hAnsi="Arial" w:cs="Calibri"/>
          <w:i/>
        </w:rPr>
        <w:t>i pomóc w ponownym przepływie inwestycji transgranicznych.</w:t>
      </w:r>
    </w:p>
    <w:p w14:paraId="090A5675" w14:textId="22735BDE" w:rsidR="00C41140" w:rsidRDefault="00C3014A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  <w:i/>
        </w:rPr>
        <w:t>Pandemia spowodowała szereg zakłóceń w gospodarce i na rynkach nieruchomości komercyjnych. Niemniej jednak, szukając nowych możliwości, inwestorzy powinni uwzględniać trendy strukturalne, które przyspieszyły wskutek COVID-19</w:t>
      </w:r>
      <w:r w:rsidRPr="00707EB9">
        <w:rPr>
          <w:rFonts w:ascii="Arial" w:eastAsia="Calibri" w:hAnsi="Arial" w:cs="Calibri"/>
        </w:rPr>
        <w:t>.”</w:t>
      </w:r>
    </w:p>
    <w:p w14:paraId="52776D0C" w14:textId="77777777" w:rsidR="005277F3" w:rsidRPr="00707EB9" w:rsidRDefault="005277F3" w:rsidP="005277F3">
      <w:pPr>
        <w:spacing w:after="120" w:line="360" w:lineRule="auto"/>
        <w:jc w:val="both"/>
        <w:rPr>
          <w:rFonts w:ascii="Arial" w:eastAsiaTheme="minorHAnsi" w:hAnsi="Arial" w:cstheme="minorBidi"/>
          <w:b/>
          <w:bCs/>
          <w:lang w:eastAsia="en-US"/>
        </w:rPr>
      </w:pPr>
      <w:r w:rsidRPr="00707EB9">
        <w:rPr>
          <w:rFonts w:ascii="Arial" w:eastAsiaTheme="minorHAnsi" w:hAnsi="Arial" w:cstheme="minorBidi"/>
          <w:b/>
          <w:bCs/>
          <w:lang w:eastAsia="en-US"/>
        </w:rPr>
        <w:t>Polska</w:t>
      </w:r>
    </w:p>
    <w:p w14:paraId="4A9F3AB4" w14:textId="6AF5CC90" w:rsidR="005277F3" w:rsidRPr="00707EB9" w:rsidRDefault="005277F3" w:rsidP="005277F3">
      <w:pPr>
        <w:spacing w:after="120" w:line="360" w:lineRule="auto"/>
        <w:jc w:val="both"/>
        <w:rPr>
          <w:rFonts w:ascii="Arial" w:eastAsiaTheme="minorHAnsi" w:hAnsi="Arial" w:cstheme="minorBidi"/>
          <w:lang w:eastAsia="en-US"/>
        </w:rPr>
      </w:pPr>
      <w:r w:rsidRPr="00707EB9">
        <w:rPr>
          <w:rFonts w:ascii="Arial" w:eastAsiaTheme="minorHAnsi" w:hAnsi="Arial" w:cstheme="minorBidi"/>
          <w:lang w:eastAsia="en-US"/>
        </w:rPr>
        <w:t xml:space="preserve">Średnio- i długoterminowe prognozy dotyczące polskiego rynku nieruchomości komercyjnych są pozytywne, ponieważ podstawowe czynniki decydujące o sukcesie gospodarczym kraju pozostają niezmienione. Ponadprzeciętne wydatki na infrastrukturę, bezpośrednie inwestycje zagraniczne, popyt na produkty krajowe oraz konkurencyjność gospodarki nadal decydują o atrakcyjności polskiego rynku nieruchomości. </w:t>
      </w:r>
    </w:p>
    <w:p w14:paraId="599BE0F5" w14:textId="77777777" w:rsidR="005277F3" w:rsidRPr="00707EB9" w:rsidRDefault="005277F3" w:rsidP="005277F3">
      <w:pPr>
        <w:spacing w:after="120" w:line="360" w:lineRule="auto"/>
        <w:jc w:val="both"/>
        <w:rPr>
          <w:rFonts w:ascii="Arial" w:eastAsiaTheme="minorHAnsi" w:hAnsi="Arial" w:cstheme="minorBidi"/>
          <w:bCs/>
          <w:lang w:eastAsia="en-US"/>
        </w:rPr>
      </w:pPr>
      <w:r w:rsidRPr="00707EB9">
        <w:rPr>
          <w:rFonts w:ascii="Arial" w:eastAsiaTheme="minorHAnsi" w:hAnsi="Arial" w:cstheme="minorBidi"/>
          <w:lang w:eastAsia="en-US"/>
        </w:rPr>
        <w:t xml:space="preserve">Polska pozostaje jednym z najbardziej pożądanych rynków magazynowych w Europie. Pomimo pandemii, jego wysoka płynność i popularność wśród kapitału napędza wolumen transakcji i utrzymuje lub w pewnych przypadkach powoduje wzrost cen obiektów magazynowych. Z uwagi na stabilny popyt ze strony najemców ryzyko po stronie podaży jest umiarkowane. </w:t>
      </w:r>
      <w:r w:rsidRPr="00707EB9">
        <w:rPr>
          <w:rFonts w:ascii="Arial" w:eastAsiaTheme="minorHAnsi" w:hAnsi="Arial" w:cstheme="minorBidi"/>
          <w:bCs/>
          <w:lang w:eastAsia="en-US"/>
        </w:rPr>
        <w:t xml:space="preserve">Inwestorzy na polskim rynku coraz częściej wchodzą w partnerstwa strategiczne z deweloperami w celu długoterminowego zabezpieczenia dostępu do aktywów. </w:t>
      </w:r>
      <w:proofErr w:type="spellStart"/>
      <w:r w:rsidRPr="00707EB9">
        <w:rPr>
          <w:rFonts w:ascii="Arial" w:eastAsiaTheme="minorHAnsi" w:hAnsi="Arial" w:cstheme="minorBidi"/>
          <w:bCs/>
          <w:lang w:eastAsia="en-US"/>
        </w:rPr>
        <w:t>Savills</w:t>
      </w:r>
      <w:proofErr w:type="spellEnd"/>
      <w:r w:rsidRPr="00707EB9">
        <w:rPr>
          <w:rFonts w:ascii="Arial" w:eastAsiaTheme="minorHAnsi" w:hAnsi="Arial" w:cstheme="minorBidi"/>
          <w:bCs/>
          <w:lang w:eastAsia="en-US"/>
        </w:rPr>
        <w:t xml:space="preserve"> IM przewiduje, że w kolejnych miesiącach trend ten się utrzyma, a dodatkowo dzięki rozwojowi infrastruktury i połączeń komunikacyjnych na znaczeniu zyskają rynki w północnej, zachodniej i wschodniej części Polski. </w:t>
      </w:r>
      <w:proofErr w:type="spellStart"/>
      <w:r w:rsidRPr="00707EB9">
        <w:rPr>
          <w:rFonts w:ascii="Arial" w:eastAsiaTheme="minorHAnsi" w:hAnsi="Arial" w:cstheme="minorBidi"/>
          <w:bCs/>
          <w:lang w:eastAsia="en-US"/>
        </w:rPr>
        <w:t>Savills</w:t>
      </w:r>
      <w:proofErr w:type="spellEnd"/>
      <w:r w:rsidRPr="00707EB9">
        <w:rPr>
          <w:rFonts w:ascii="Arial" w:eastAsiaTheme="minorHAnsi" w:hAnsi="Arial" w:cstheme="minorBidi"/>
          <w:bCs/>
          <w:lang w:eastAsia="en-US"/>
        </w:rPr>
        <w:t xml:space="preserve"> IM spodziewa się też postępującej specjalizacji inwestorów w ramach dedykowanych strategii logistycznych.</w:t>
      </w:r>
    </w:p>
    <w:p w14:paraId="4C12017A" w14:textId="5D3FEBE2" w:rsidR="005277F3" w:rsidRPr="00707EB9" w:rsidRDefault="005277F3" w:rsidP="005277F3">
      <w:pPr>
        <w:spacing w:after="120" w:line="360" w:lineRule="auto"/>
        <w:jc w:val="both"/>
        <w:rPr>
          <w:rFonts w:ascii="Arial" w:eastAsiaTheme="minorHAnsi" w:hAnsi="Arial" w:cstheme="minorBidi"/>
          <w:bCs/>
          <w:lang w:eastAsia="en-US"/>
        </w:rPr>
      </w:pPr>
      <w:r w:rsidRPr="00707EB9">
        <w:rPr>
          <w:rFonts w:ascii="Arial" w:eastAsiaTheme="minorHAnsi" w:hAnsi="Arial" w:cstheme="minorBidi"/>
          <w:bCs/>
          <w:lang w:eastAsia="en-US"/>
        </w:rPr>
        <w:t xml:space="preserve">Z kolei rynek biurowy, podobnie jak w innych krajach, boryka się z wyzwaniami wywołanymi pandemią. Spodziewany spadek popytu na powierzchnię biurową, niechęć najemców do podejmowania długoterminowych zobowiązań umownych w warunkach niepewności dotyczącej przyszłego modelu pracy, wpływ pandemii na stabilność czynszów, konkurencja ze strony podnajmów, czy rosnące pakiety zachęt w krótkim terminie wpłyną na poziomy zwrotów z tej klasy aktywów. Natomiast czynniki fundamentalne, w tym koszty pracy, pozostają w Polsce atrakcyjne w porównaniu z rynkami w Europie Zachodniej, co przekłada się na dobre perspektywy sektora biurowego w długim terminie. </w:t>
      </w:r>
      <w:proofErr w:type="spellStart"/>
      <w:r w:rsidRPr="00707EB9">
        <w:rPr>
          <w:rFonts w:ascii="Arial" w:eastAsiaTheme="minorHAnsi" w:hAnsi="Arial" w:cstheme="minorBidi"/>
          <w:bCs/>
          <w:lang w:eastAsia="en-US"/>
        </w:rPr>
        <w:t>Savills</w:t>
      </w:r>
      <w:proofErr w:type="spellEnd"/>
      <w:r w:rsidRPr="00707EB9">
        <w:rPr>
          <w:rFonts w:ascii="Arial" w:eastAsiaTheme="minorHAnsi" w:hAnsi="Arial" w:cstheme="minorBidi"/>
          <w:bCs/>
          <w:lang w:eastAsia="en-US"/>
        </w:rPr>
        <w:t xml:space="preserve"> IM prognozuje, że stopy kapitalizacji za najlepsze nieruchomości biurowe </w:t>
      </w:r>
      <w:r w:rsidR="000D2D72">
        <w:rPr>
          <w:rFonts w:ascii="Arial" w:eastAsiaTheme="minorHAnsi" w:hAnsi="Arial" w:cstheme="minorBidi"/>
          <w:bCs/>
          <w:lang w:eastAsia="en-US"/>
        </w:rPr>
        <w:t xml:space="preserve">mogą </w:t>
      </w:r>
      <w:r w:rsidRPr="00707EB9">
        <w:rPr>
          <w:rFonts w:ascii="Arial" w:eastAsiaTheme="minorHAnsi" w:hAnsi="Arial" w:cstheme="minorBidi"/>
          <w:bCs/>
          <w:lang w:eastAsia="en-US"/>
        </w:rPr>
        <w:t>wzrosną</w:t>
      </w:r>
      <w:r w:rsidR="000D2D72">
        <w:rPr>
          <w:rFonts w:ascii="Arial" w:eastAsiaTheme="minorHAnsi" w:hAnsi="Arial" w:cstheme="minorBidi"/>
          <w:bCs/>
          <w:lang w:eastAsia="en-US"/>
        </w:rPr>
        <w:t>ć</w:t>
      </w:r>
      <w:r w:rsidRPr="00707EB9">
        <w:rPr>
          <w:rFonts w:ascii="Arial" w:eastAsiaTheme="minorHAnsi" w:hAnsi="Arial" w:cstheme="minorBidi"/>
          <w:bCs/>
          <w:lang w:eastAsia="en-US"/>
        </w:rPr>
        <w:t xml:space="preserve"> o 25-50 punktów bazowych, przy czym różnica w stopach kapitalizacji między Warszawą a kluczowymi rynkami regionalnymi może się zmniejszać.</w:t>
      </w:r>
    </w:p>
    <w:p w14:paraId="69CF836E" w14:textId="77777777" w:rsidR="005277F3" w:rsidRPr="00707EB9" w:rsidRDefault="005277F3" w:rsidP="005277F3">
      <w:pPr>
        <w:spacing w:after="120" w:line="360" w:lineRule="auto"/>
        <w:jc w:val="both"/>
        <w:rPr>
          <w:rFonts w:ascii="Arial" w:eastAsiaTheme="minorHAnsi" w:hAnsi="Arial" w:cstheme="minorBidi"/>
          <w:bCs/>
          <w:lang w:eastAsia="en-US"/>
        </w:rPr>
      </w:pPr>
      <w:r w:rsidRPr="00707EB9">
        <w:rPr>
          <w:rFonts w:ascii="Arial" w:eastAsiaTheme="minorHAnsi" w:hAnsi="Arial" w:cstheme="minorBidi"/>
          <w:bCs/>
          <w:lang w:eastAsia="en-US"/>
        </w:rPr>
        <w:t xml:space="preserve">Poza sektorem hotelowym, sektor handlowy w Polsce ucierpiał w największym stopniu </w:t>
      </w:r>
      <w:r w:rsidRPr="00707EB9">
        <w:rPr>
          <w:rFonts w:ascii="Arial" w:eastAsiaTheme="minorHAnsi" w:hAnsi="Arial" w:cstheme="minorBidi"/>
          <w:bCs/>
          <w:lang w:eastAsia="en-US"/>
        </w:rPr>
        <w:br/>
        <w:t xml:space="preserve">w wyniku pandemii. W związku z tym, </w:t>
      </w:r>
      <w:proofErr w:type="spellStart"/>
      <w:r w:rsidRPr="00707EB9">
        <w:rPr>
          <w:rFonts w:ascii="Arial" w:eastAsiaTheme="minorHAnsi" w:hAnsi="Arial" w:cstheme="minorBidi"/>
          <w:bCs/>
          <w:lang w:eastAsia="en-US"/>
        </w:rPr>
        <w:t>Savills</w:t>
      </w:r>
      <w:proofErr w:type="spellEnd"/>
      <w:r w:rsidRPr="00707EB9">
        <w:rPr>
          <w:rFonts w:ascii="Arial" w:eastAsiaTheme="minorHAnsi" w:hAnsi="Arial" w:cstheme="minorBidi"/>
          <w:bCs/>
          <w:lang w:eastAsia="en-US"/>
        </w:rPr>
        <w:t xml:space="preserve"> IM spodziewa się korekty cen obiektów handlowych, za wyjątkiem tych najlepszych. Powodami są przewidywany spadek popytu ze strony najemców, zmiana przyzwyczajeń zakupowych, dynamiczny wzrost sprzedaży online oraz presja na obniżkę czynszów. </w:t>
      </w:r>
      <w:r w:rsidRPr="00707EB9">
        <w:rPr>
          <w:rFonts w:ascii="Arial" w:eastAsiaTheme="minorHAnsi" w:hAnsi="Arial" w:cstheme="minorBidi"/>
          <w:bCs/>
          <w:lang w:eastAsia="en-US"/>
        </w:rPr>
        <w:lastRenderedPageBreak/>
        <w:t>Wśród rekomendowanych nieruchomości o najlepszych perspektywach wzrostu wartości należy wyróżnić centra wyprzedażowe i parki handlowe z rozbudowaną ofertą spożywczą.</w:t>
      </w:r>
    </w:p>
    <w:p w14:paraId="58F1F232" w14:textId="77777777" w:rsidR="005277F3" w:rsidRPr="00707EB9" w:rsidRDefault="005277F3" w:rsidP="005277F3">
      <w:pPr>
        <w:spacing w:after="120" w:line="360" w:lineRule="auto"/>
        <w:jc w:val="both"/>
        <w:rPr>
          <w:rFonts w:ascii="Arial" w:eastAsiaTheme="minorHAnsi" w:hAnsi="Arial" w:cstheme="minorBidi"/>
          <w:bCs/>
          <w:lang w:eastAsia="en-US"/>
        </w:rPr>
      </w:pPr>
      <w:r w:rsidRPr="00707EB9">
        <w:rPr>
          <w:rFonts w:ascii="Arial" w:eastAsiaTheme="minorHAnsi" w:hAnsi="Arial" w:cstheme="minorBidi"/>
          <w:bCs/>
          <w:lang w:eastAsia="en-US"/>
        </w:rPr>
        <w:t xml:space="preserve">Jak wynika z raportu </w:t>
      </w:r>
      <w:proofErr w:type="spellStart"/>
      <w:r w:rsidRPr="00707EB9">
        <w:rPr>
          <w:rFonts w:ascii="Arial" w:eastAsiaTheme="minorHAnsi" w:hAnsi="Arial" w:cstheme="minorBidi"/>
          <w:bCs/>
          <w:lang w:eastAsia="en-US"/>
        </w:rPr>
        <w:t>Savills</w:t>
      </w:r>
      <w:proofErr w:type="spellEnd"/>
      <w:r w:rsidRPr="00707EB9">
        <w:rPr>
          <w:rFonts w:ascii="Arial" w:eastAsiaTheme="minorHAnsi" w:hAnsi="Arial" w:cstheme="minorBidi"/>
          <w:bCs/>
          <w:lang w:eastAsia="en-US"/>
        </w:rPr>
        <w:t xml:space="preserve"> IM Outlook 2021, warto uważnie przyglądać się dynamicznie rosnącemu rynkowi instytucjonalnego wynajmu mieszkań. Wyższe stopy zwrotu w porównaniu z Europą Zachodnią, fundamentalny deficyt zasobów mieszkaniowych odpowiedniej jakości oraz utrudniona dostępność finansowania w połączeniu z początkową fazą rozwoju rynku i spodziewaną zmianą podejścia do posiadania nieruchomości, zwiększają atrakcyjność tej klasy aktywów dla graczy gotowych na nieco wyższy profil ryzyka.</w:t>
      </w:r>
    </w:p>
    <w:p w14:paraId="54E53CD5" w14:textId="77777777" w:rsidR="005277F3" w:rsidRPr="00707EB9" w:rsidRDefault="005277F3" w:rsidP="005277F3">
      <w:pPr>
        <w:spacing w:after="120" w:line="360" w:lineRule="auto"/>
        <w:contextualSpacing/>
        <w:jc w:val="both"/>
        <w:rPr>
          <w:rFonts w:ascii="Arial" w:hAnsi="Arial" w:cs="Arial"/>
          <w:lang w:eastAsia="en-US"/>
        </w:rPr>
      </w:pPr>
      <w:r w:rsidRPr="00707EB9">
        <w:rPr>
          <w:rFonts w:ascii="Arial" w:eastAsiaTheme="minorHAnsi" w:hAnsi="Arial" w:cstheme="minorBidi"/>
          <w:lang w:eastAsia="en-US"/>
        </w:rPr>
        <w:t>Kluczowe rekomendacje inwestycyjne:</w:t>
      </w:r>
    </w:p>
    <w:p w14:paraId="795B9AF5" w14:textId="77777777" w:rsidR="005277F3" w:rsidRPr="00707EB9" w:rsidRDefault="005277F3" w:rsidP="005277F3">
      <w:pPr>
        <w:numPr>
          <w:ilvl w:val="0"/>
          <w:numId w:val="22"/>
        </w:numPr>
        <w:spacing w:after="240" w:line="360" w:lineRule="auto"/>
        <w:ind w:left="714" w:hanging="357"/>
        <w:contextualSpacing/>
        <w:jc w:val="both"/>
        <w:rPr>
          <w:rFonts w:ascii="Arial" w:hAnsi="Arial" w:cs="Arial"/>
          <w:lang w:eastAsia="en-US"/>
        </w:rPr>
      </w:pPr>
      <w:r w:rsidRPr="00707EB9">
        <w:rPr>
          <w:rFonts w:ascii="Arial" w:hAnsi="Arial" w:cs="Arial"/>
          <w:lang w:eastAsia="en-US"/>
        </w:rPr>
        <w:t xml:space="preserve">Nowoczesne centra dystrybucyjne przy głównych szlakach komunikacyjnych oraz obiekty typu </w:t>
      </w:r>
      <w:proofErr w:type="spellStart"/>
      <w:r w:rsidRPr="00707EB9">
        <w:rPr>
          <w:rFonts w:ascii="Arial" w:hAnsi="Arial" w:cs="Arial"/>
          <w:lang w:eastAsia="en-US"/>
        </w:rPr>
        <w:t>multi-let</w:t>
      </w:r>
      <w:proofErr w:type="spellEnd"/>
      <w:r w:rsidRPr="00707EB9">
        <w:rPr>
          <w:rFonts w:ascii="Arial" w:hAnsi="Arial" w:cs="Arial"/>
          <w:lang w:eastAsia="en-US"/>
        </w:rPr>
        <w:t xml:space="preserve"> zlokalizowane w pobliżu obszarów miejskich.</w:t>
      </w:r>
    </w:p>
    <w:p w14:paraId="2979AFA1" w14:textId="4D155098" w:rsidR="005277F3" w:rsidRDefault="005277F3" w:rsidP="005277F3">
      <w:pPr>
        <w:numPr>
          <w:ilvl w:val="0"/>
          <w:numId w:val="22"/>
        </w:numPr>
        <w:spacing w:line="360" w:lineRule="auto"/>
        <w:ind w:left="714" w:hanging="357"/>
        <w:jc w:val="both"/>
        <w:rPr>
          <w:rFonts w:ascii="Arial" w:eastAsiaTheme="minorHAnsi" w:hAnsi="Arial" w:cstheme="minorBidi"/>
          <w:lang w:eastAsia="en-US"/>
        </w:rPr>
      </w:pPr>
      <w:r w:rsidRPr="00707EB9">
        <w:rPr>
          <w:rFonts w:ascii="Arial" w:eastAsiaTheme="minorHAnsi" w:hAnsi="Arial" w:cstheme="minorBidi"/>
          <w:lang w:eastAsia="en-US"/>
        </w:rPr>
        <w:t xml:space="preserve">Najwyższej jakości aktywa biurowe w Warszawie, stanowiące część projektów </w:t>
      </w:r>
      <w:proofErr w:type="spellStart"/>
      <w:r w:rsidRPr="00707EB9">
        <w:rPr>
          <w:rFonts w:ascii="Arial" w:eastAsiaTheme="minorHAnsi" w:hAnsi="Arial" w:cstheme="minorBidi"/>
          <w:lang w:eastAsia="en-US"/>
        </w:rPr>
        <w:t>mixed-use</w:t>
      </w:r>
      <w:proofErr w:type="spellEnd"/>
      <w:r w:rsidRPr="00707EB9">
        <w:rPr>
          <w:rFonts w:ascii="Arial" w:eastAsiaTheme="minorHAnsi" w:hAnsi="Arial" w:cstheme="minorBidi"/>
          <w:lang w:eastAsia="en-US"/>
        </w:rPr>
        <w:t xml:space="preserve"> oraz wyselekcjonowane projekty biurowe w kluczowych miastach regionalnych.</w:t>
      </w:r>
    </w:p>
    <w:p w14:paraId="3E876C80" w14:textId="77777777" w:rsidR="005277F3" w:rsidRPr="005277F3" w:rsidRDefault="005277F3" w:rsidP="005277F3">
      <w:pPr>
        <w:pStyle w:val="Akapitzlist"/>
        <w:numPr>
          <w:ilvl w:val="0"/>
          <w:numId w:val="22"/>
        </w:numPr>
        <w:rPr>
          <w:rFonts w:ascii="Arial" w:eastAsiaTheme="minorHAnsi" w:hAnsi="Arial" w:cstheme="minorBidi"/>
          <w:lang w:eastAsia="en-US"/>
        </w:rPr>
      </w:pPr>
      <w:r w:rsidRPr="005277F3">
        <w:rPr>
          <w:rFonts w:ascii="Arial" w:eastAsiaTheme="minorHAnsi" w:hAnsi="Arial" w:cstheme="minorBidi"/>
          <w:lang w:eastAsia="en-US"/>
        </w:rPr>
        <w:t>Centra wyprzedażowe i parki handlowe z wiodącym udziałem najemców spożywczych.</w:t>
      </w:r>
    </w:p>
    <w:p w14:paraId="45C1C55D" w14:textId="77777777" w:rsidR="005277F3" w:rsidRPr="005277F3" w:rsidRDefault="005277F3" w:rsidP="005277F3">
      <w:pPr>
        <w:spacing w:after="240" w:line="360" w:lineRule="auto"/>
        <w:ind w:left="714"/>
        <w:contextualSpacing/>
        <w:jc w:val="both"/>
        <w:rPr>
          <w:rFonts w:ascii="Arial" w:eastAsiaTheme="minorHAnsi" w:hAnsi="Arial" w:cstheme="minorBidi"/>
          <w:lang w:eastAsia="en-US"/>
        </w:rPr>
      </w:pPr>
    </w:p>
    <w:p w14:paraId="3C538C0E" w14:textId="77777777" w:rsidR="005277F3" w:rsidRPr="00707EB9" w:rsidRDefault="005277F3" w:rsidP="005277F3">
      <w:pPr>
        <w:spacing w:after="120" w:line="360" w:lineRule="auto"/>
        <w:jc w:val="both"/>
        <w:rPr>
          <w:rFonts w:ascii="Arial" w:hAnsi="Arial" w:cs="Arial"/>
          <w:lang w:eastAsia="en-US"/>
        </w:rPr>
      </w:pPr>
      <w:r w:rsidRPr="00707EB9">
        <w:rPr>
          <w:rFonts w:ascii="Arial" w:hAnsi="Arial" w:cs="Arial"/>
          <w:b/>
          <w:lang w:eastAsia="en-US"/>
        </w:rPr>
        <w:t xml:space="preserve">Piotr Trzciński, </w:t>
      </w:r>
      <w:proofErr w:type="spellStart"/>
      <w:r w:rsidRPr="00707EB9">
        <w:rPr>
          <w:rFonts w:ascii="Arial" w:hAnsi="Arial" w:cs="Arial"/>
          <w:b/>
          <w:lang w:eastAsia="en-US"/>
        </w:rPr>
        <w:t>Head</w:t>
      </w:r>
      <w:proofErr w:type="spellEnd"/>
      <w:r w:rsidRPr="00707EB9">
        <w:rPr>
          <w:rFonts w:ascii="Arial" w:hAnsi="Arial" w:cs="Arial"/>
          <w:b/>
          <w:lang w:eastAsia="en-US"/>
        </w:rPr>
        <w:t xml:space="preserve"> of Investment – Poland w </w:t>
      </w:r>
      <w:proofErr w:type="spellStart"/>
      <w:r w:rsidRPr="00707EB9">
        <w:rPr>
          <w:rFonts w:ascii="Arial" w:hAnsi="Arial" w:cs="Arial"/>
          <w:b/>
          <w:lang w:eastAsia="en-US"/>
        </w:rPr>
        <w:t>Savills</w:t>
      </w:r>
      <w:proofErr w:type="spellEnd"/>
      <w:r w:rsidRPr="00707EB9">
        <w:rPr>
          <w:rFonts w:ascii="Arial" w:hAnsi="Arial" w:cs="Arial"/>
          <w:b/>
          <w:lang w:eastAsia="en-US"/>
        </w:rPr>
        <w:t xml:space="preserve"> IM</w:t>
      </w:r>
      <w:r w:rsidRPr="00707EB9">
        <w:rPr>
          <w:rFonts w:ascii="Arial" w:hAnsi="Arial" w:cs="Arial"/>
          <w:lang w:eastAsia="en-US"/>
        </w:rPr>
        <w:t>, skomentował:</w:t>
      </w:r>
    </w:p>
    <w:p w14:paraId="6C30C362" w14:textId="202BC5D7" w:rsidR="005277F3" w:rsidRPr="00707EB9" w:rsidRDefault="005277F3" w:rsidP="005277F3">
      <w:pPr>
        <w:spacing w:after="120" w:line="360" w:lineRule="auto"/>
        <w:jc w:val="both"/>
        <w:rPr>
          <w:rFonts w:ascii="Arial" w:hAnsi="Arial" w:cs="Arial"/>
          <w:i/>
          <w:highlight w:val="yellow"/>
          <w:lang w:eastAsia="en-US"/>
        </w:rPr>
      </w:pPr>
      <w:r w:rsidRPr="00707EB9">
        <w:rPr>
          <w:rFonts w:ascii="Arial" w:hAnsi="Arial" w:cs="Arial"/>
          <w:i/>
          <w:lang w:eastAsia="en-US"/>
        </w:rPr>
        <w:t xml:space="preserve">„Polska </w:t>
      </w:r>
      <w:r w:rsidR="00365528">
        <w:rPr>
          <w:rFonts w:ascii="Arial" w:hAnsi="Arial" w:cs="Arial"/>
          <w:i/>
          <w:lang w:eastAsia="en-US"/>
        </w:rPr>
        <w:t>pozostaje</w:t>
      </w:r>
      <w:r w:rsidRPr="00707EB9">
        <w:rPr>
          <w:rFonts w:ascii="Arial" w:hAnsi="Arial" w:cs="Arial"/>
          <w:i/>
          <w:lang w:eastAsia="en-US"/>
        </w:rPr>
        <w:t xml:space="preserve"> liderem w Europie Środkowej pod względem atrakcyjności dla inwestorów</w:t>
      </w:r>
      <w:r w:rsidR="00365528">
        <w:rPr>
          <w:rFonts w:ascii="Arial" w:hAnsi="Arial" w:cs="Arial"/>
          <w:i/>
          <w:lang w:eastAsia="en-US"/>
        </w:rPr>
        <w:t xml:space="preserve">, oferując </w:t>
      </w:r>
      <w:r w:rsidRPr="00707EB9">
        <w:rPr>
          <w:rFonts w:ascii="Arial" w:hAnsi="Arial" w:cs="Arial"/>
          <w:i/>
          <w:lang w:eastAsia="en-US"/>
        </w:rPr>
        <w:t xml:space="preserve"> relatywnie wysoką premię za ryzyko</w:t>
      </w:r>
      <w:r w:rsidR="000D2D72">
        <w:rPr>
          <w:rFonts w:ascii="Arial" w:hAnsi="Arial" w:cs="Arial"/>
          <w:i/>
          <w:lang w:eastAsia="en-US"/>
        </w:rPr>
        <w:t xml:space="preserve">. </w:t>
      </w:r>
      <w:r w:rsidR="008620B6">
        <w:rPr>
          <w:rFonts w:ascii="Arial" w:hAnsi="Arial" w:cs="Arial"/>
          <w:i/>
          <w:lang w:eastAsia="en-US"/>
        </w:rPr>
        <w:t>Pomijając efekt COVID-19, uważam</w:t>
      </w:r>
      <w:r w:rsidR="00365528">
        <w:rPr>
          <w:rFonts w:ascii="Arial" w:hAnsi="Arial" w:cs="Arial"/>
          <w:i/>
          <w:lang w:eastAsia="en-US"/>
        </w:rPr>
        <w:t>, że przyszły poziom aktywności na rynku będzie zależał głownie od dostępności odpowiedniego produktu oraz źródeł pochodzenia kapitału. Z</w:t>
      </w:r>
      <w:r w:rsidRPr="00707EB9">
        <w:rPr>
          <w:rFonts w:ascii="Arial" w:hAnsi="Arial" w:cs="Arial"/>
          <w:i/>
          <w:lang w:eastAsia="en-US"/>
        </w:rPr>
        <w:t xml:space="preserve"> racji na</w:t>
      </w:r>
      <w:r w:rsidR="00365528">
        <w:rPr>
          <w:rFonts w:ascii="Arial" w:hAnsi="Arial" w:cs="Arial"/>
          <w:i/>
          <w:lang w:eastAsia="en-US"/>
        </w:rPr>
        <w:t xml:space="preserve"> potencjał,</w:t>
      </w:r>
      <w:r w:rsidRPr="00707EB9">
        <w:rPr>
          <w:rFonts w:ascii="Arial" w:hAnsi="Arial" w:cs="Arial"/>
          <w:i/>
          <w:lang w:eastAsia="en-US"/>
        </w:rPr>
        <w:t xml:space="preserve"> położenie, czy chłonny i duży rynek wewnętrzny, Polska jest</w:t>
      </w:r>
      <w:r w:rsidR="00FA5560">
        <w:rPr>
          <w:rFonts w:ascii="Arial" w:hAnsi="Arial" w:cs="Arial"/>
          <w:i/>
          <w:lang w:eastAsia="en-US"/>
        </w:rPr>
        <w:t xml:space="preserve"> </w:t>
      </w:r>
      <w:r w:rsidRPr="00707EB9">
        <w:rPr>
          <w:rFonts w:ascii="Arial" w:hAnsi="Arial" w:cs="Arial"/>
          <w:i/>
          <w:lang w:eastAsia="en-US"/>
        </w:rPr>
        <w:t xml:space="preserve">postrzegana </w:t>
      </w:r>
      <w:r w:rsidR="00365528" w:rsidRPr="00707EB9">
        <w:rPr>
          <w:rFonts w:ascii="Arial" w:hAnsi="Arial" w:cs="Arial"/>
          <w:i/>
          <w:lang w:eastAsia="en-US"/>
        </w:rPr>
        <w:t xml:space="preserve">wśród </w:t>
      </w:r>
      <w:r w:rsidR="00365528">
        <w:rPr>
          <w:rFonts w:ascii="Arial" w:hAnsi="Arial" w:cs="Arial"/>
          <w:i/>
          <w:lang w:eastAsia="en-US"/>
        </w:rPr>
        <w:t>wielu inwestorów zagranicznych</w:t>
      </w:r>
      <w:r w:rsidR="00365528" w:rsidRPr="00707EB9">
        <w:rPr>
          <w:rFonts w:ascii="Arial" w:hAnsi="Arial" w:cs="Arial"/>
          <w:i/>
          <w:lang w:eastAsia="en-US"/>
        </w:rPr>
        <w:t xml:space="preserve"> </w:t>
      </w:r>
      <w:r w:rsidRPr="00707EB9">
        <w:rPr>
          <w:rFonts w:ascii="Arial" w:hAnsi="Arial" w:cs="Arial"/>
          <w:i/>
          <w:lang w:eastAsia="en-US"/>
        </w:rPr>
        <w:t>jako ciekawy element dywersyfikacji geograficznej, często w</w:t>
      </w:r>
      <w:r w:rsidR="00365528">
        <w:rPr>
          <w:rFonts w:ascii="Arial" w:hAnsi="Arial" w:cs="Arial"/>
          <w:i/>
          <w:lang w:eastAsia="en-US"/>
        </w:rPr>
        <w:t xml:space="preserve"> kontekście</w:t>
      </w:r>
      <w:r w:rsidRPr="00707EB9">
        <w:rPr>
          <w:rFonts w:ascii="Arial" w:hAnsi="Arial" w:cs="Arial"/>
          <w:i/>
          <w:lang w:eastAsia="en-US"/>
        </w:rPr>
        <w:t xml:space="preserve"> szerszych strategi</w:t>
      </w:r>
      <w:r w:rsidR="00365528">
        <w:rPr>
          <w:rFonts w:ascii="Arial" w:hAnsi="Arial" w:cs="Arial"/>
          <w:i/>
          <w:lang w:eastAsia="en-US"/>
        </w:rPr>
        <w:t>i</w:t>
      </w:r>
      <w:r w:rsidRPr="00707EB9">
        <w:rPr>
          <w:rFonts w:ascii="Arial" w:hAnsi="Arial" w:cs="Arial"/>
          <w:i/>
          <w:lang w:eastAsia="en-US"/>
        </w:rPr>
        <w:t xml:space="preserve"> pan-europejskich.</w:t>
      </w:r>
      <w:r w:rsidR="00365528">
        <w:rPr>
          <w:rFonts w:ascii="Arial" w:hAnsi="Arial" w:cs="Arial"/>
          <w:i/>
          <w:lang w:eastAsia="en-US"/>
        </w:rPr>
        <w:t xml:space="preserve"> </w:t>
      </w:r>
      <w:r w:rsidRPr="00707EB9">
        <w:rPr>
          <w:rFonts w:ascii="Arial" w:hAnsi="Arial" w:cs="Arial"/>
          <w:i/>
          <w:lang w:eastAsia="en-US"/>
        </w:rPr>
        <w:t xml:space="preserve">Mam </w:t>
      </w:r>
      <w:r w:rsidR="00365528">
        <w:rPr>
          <w:rFonts w:ascii="Arial" w:hAnsi="Arial" w:cs="Arial"/>
          <w:i/>
          <w:lang w:eastAsia="en-US"/>
        </w:rPr>
        <w:t xml:space="preserve">też </w:t>
      </w:r>
      <w:r w:rsidRPr="00707EB9">
        <w:rPr>
          <w:rFonts w:ascii="Arial" w:hAnsi="Arial" w:cs="Arial"/>
          <w:i/>
          <w:lang w:eastAsia="en-US"/>
        </w:rPr>
        <w:t xml:space="preserve">nadzieję, że </w:t>
      </w:r>
      <w:r w:rsidR="00365528" w:rsidRPr="00707EB9">
        <w:rPr>
          <w:rFonts w:ascii="Arial" w:hAnsi="Arial" w:cs="Arial"/>
          <w:i/>
          <w:lang w:eastAsia="en-US"/>
        </w:rPr>
        <w:t>upowszechnienie się szczepionki na COVID-19</w:t>
      </w:r>
      <w:r w:rsidR="00365528">
        <w:rPr>
          <w:rFonts w:ascii="Arial" w:hAnsi="Arial" w:cs="Arial"/>
          <w:i/>
          <w:lang w:eastAsia="en-US"/>
        </w:rPr>
        <w:t xml:space="preserve"> pod koniec roku</w:t>
      </w:r>
      <w:r w:rsidRPr="00707EB9">
        <w:rPr>
          <w:rFonts w:ascii="Arial" w:hAnsi="Arial" w:cs="Arial"/>
          <w:i/>
          <w:lang w:eastAsia="en-US"/>
        </w:rPr>
        <w:t xml:space="preserve"> 2021</w:t>
      </w:r>
      <w:r w:rsidR="008620B6">
        <w:rPr>
          <w:rFonts w:ascii="Arial" w:hAnsi="Arial" w:cs="Arial"/>
          <w:i/>
          <w:lang w:eastAsia="en-US"/>
        </w:rPr>
        <w:t>,</w:t>
      </w:r>
      <w:r w:rsidRPr="00707EB9">
        <w:rPr>
          <w:rFonts w:ascii="Arial" w:hAnsi="Arial" w:cs="Arial"/>
          <w:i/>
          <w:lang w:eastAsia="en-US"/>
        </w:rPr>
        <w:t xml:space="preserve"> </w:t>
      </w:r>
      <w:r w:rsidR="00365528">
        <w:rPr>
          <w:rFonts w:ascii="Arial" w:hAnsi="Arial" w:cs="Arial"/>
          <w:i/>
          <w:lang w:eastAsia="en-US"/>
        </w:rPr>
        <w:t>ograniczy</w:t>
      </w:r>
      <w:r w:rsidR="000D2D72" w:rsidRPr="00707EB9">
        <w:rPr>
          <w:rFonts w:ascii="Arial" w:hAnsi="Arial" w:cs="Arial"/>
          <w:i/>
          <w:lang w:eastAsia="en-US"/>
        </w:rPr>
        <w:t xml:space="preserve"> </w:t>
      </w:r>
      <w:r w:rsidR="000D2D72">
        <w:rPr>
          <w:rFonts w:ascii="Arial" w:hAnsi="Arial" w:cs="Arial"/>
          <w:i/>
          <w:lang w:eastAsia="en-US"/>
        </w:rPr>
        <w:t>negatywn</w:t>
      </w:r>
      <w:r w:rsidR="00365528">
        <w:rPr>
          <w:rFonts w:ascii="Arial" w:hAnsi="Arial" w:cs="Arial"/>
          <w:i/>
          <w:lang w:eastAsia="en-US"/>
        </w:rPr>
        <w:t>y</w:t>
      </w:r>
      <w:r w:rsidR="000D2D72">
        <w:rPr>
          <w:rFonts w:ascii="Arial" w:hAnsi="Arial" w:cs="Arial"/>
          <w:i/>
          <w:lang w:eastAsia="en-US"/>
        </w:rPr>
        <w:t xml:space="preserve"> wpływ </w:t>
      </w:r>
      <w:r w:rsidR="008620B6">
        <w:rPr>
          <w:rFonts w:ascii="Arial" w:hAnsi="Arial" w:cs="Arial"/>
          <w:i/>
          <w:lang w:eastAsia="en-US"/>
        </w:rPr>
        <w:t xml:space="preserve">niepewności </w:t>
      </w:r>
      <w:r w:rsidR="00C22BDD">
        <w:rPr>
          <w:rFonts w:ascii="Arial" w:hAnsi="Arial" w:cs="Arial"/>
          <w:i/>
          <w:lang w:eastAsia="en-US"/>
        </w:rPr>
        <w:br/>
      </w:r>
      <w:r w:rsidR="008620B6">
        <w:rPr>
          <w:rFonts w:ascii="Arial" w:hAnsi="Arial" w:cs="Arial"/>
          <w:i/>
          <w:lang w:eastAsia="en-US"/>
        </w:rPr>
        <w:t xml:space="preserve">i </w:t>
      </w:r>
      <w:r w:rsidR="00365528">
        <w:rPr>
          <w:rFonts w:ascii="Arial" w:hAnsi="Arial" w:cs="Arial"/>
          <w:i/>
          <w:lang w:eastAsia="en-US"/>
        </w:rPr>
        <w:t xml:space="preserve">zredukowanej </w:t>
      </w:r>
      <w:r w:rsidR="000D2D72" w:rsidRPr="00707EB9">
        <w:rPr>
          <w:rFonts w:ascii="Arial" w:hAnsi="Arial" w:cs="Arial"/>
          <w:i/>
          <w:lang w:eastAsia="en-US"/>
        </w:rPr>
        <w:t>mobilnoś</w:t>
      </w:r>
      <w:r w:rsidR="000D2D72">
        <w:rPr>
          <w:rFonts w:ascii="Arial" w:hAnsi="Arial" w:cs="Arial"/>
          <w:i/>
          <w:lang w:eastAsia="en-US"/>
        </w:rPr>
        <w:t>ci</w:t>
      </w:r>
      <w:r w:rsidR="000D2D72" w:rsidRPr="00707EB9">
        <w:rPr>
          <w:rFonts w:ascii="Arial" w:hAnsi="Arial" w:cs="Arial"/>
          <w:i/>
          <w:lang w:eastAsia="en-US"/>
        </w:rPr>
        <w:t xml:space="preserve"> </w:t>
      </w:r>
      <w:r w:rsidRPr="00707EB9">
        <w:rPr>
          <w:rFonts w:ascii="Arial" w:hAnsi="Arial" w:cs="Arial"/>
          <w:i/>
          <w:lang w:eastAsia="en-US"/>
        </w:rPr>
        <w:t>na kondycję naszego rynku inwestycyjnego</w:t>
      </w:r>
      <w:r w:rsidR="000D2D72">
        <w:rPr>
          <w:rFonts w:ascii="Arial" w:hAnsi="Arial" w:cs="Arial"/>
          <w:i/>
          <w:lang w:eastAsia="en-US"/>
        </w:rPr>
        <w:t>.</w:t>
      </w:r>
      <w:r w:rsidRPr="00707EB9">
        <w:rPr>
          <w:rFonts w:ascii="Arial" w:hAnsi="Arial" w:cs="Arial"/>
          <w:i/>
          <w:lang w:eastAsia="en-US"/>
        </w:rPr>
        <w:t xml:space="preserve">     </w:t>
      </w:r>
    </w:p>
    <w:p w14:paraId="25C47FB0" w14:textId="4A518F9D" w:rsidR="005277F3" w:rsidRDefault="005277F3" w:rsidP="005277F3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  <w:r w:rsidRPr="00707EB9">
        <w:rPr>
          <w:rFonts w:ascii="Arial" w:hAnsi="Arial" w:cs="Arial"/>
          <w:i/>
          <w:lang w:eastAsia="en-US"/>
        </w:rPr>
        <w:t xml:space="preserve">Jestem też przekonany, że znaczenie odpowiedzialnego inwestowania w Polsce będzie rosło. ESG to znacznie więcej niż kolejny zielony certyfikat. Ci uczestnicy rynku, którzy w swoich strategiach świadomie uwzględnią odpowiedzialność m.in. za wpływ nieruchomości na środowisko, użytkownika czy społeczność lokalną, nie tylko przyczynią się do upowszechnienia się obiektów bezpiecznych oraz przyjaznych człowiekowi i otoczeniu, ale w długim terminie lepiej ochronią wartość inwestycji </w:t>
      </w:r>
      <w:r w:rsidR="00C22BDD">
        <w:rPr>
          <w:rFonts w:ascii="Arial" w:hAnsi="Arial" w:cs="Arial"/>
          <w:i/>
          <w:lang w:eastAsia="en-US"/>
        </w:rPr>
        <w:br/>
      </w:r>
      <w:r w:rsidRPr="00707EB9">
        <w:rPr>
          <w:rFonts w:ascii="Arial" w:hAnsi="Arial" w:cs="Arial"/>
          <w:i/>
          <w:lang w:eastAsia="en-US"/>
        </w:rPr>
        <w:t>w porównaniu z tymi</w:t>
      </w:r>
      <w:r w:rsidR="00365528">
        <w:rPr>
          <w:rFonts w:ascii="Arial" w:hAnsi="Arial" w:cs="Arial"/>
          <w:i/>
          <w:lang w:eastAsia="en-US"/>
        </w:rPr>
        <w:t xml:space="preserve"> inwestycjami</w:t>
      </w:r>
      <w:r w:rsidRPr="00707EB9">
        <w:rPr>
          <w:rFonts w:ascii="Arial" w:hAnsi="Arial" w:cs="Arial"/>
          <w:i/>
          <w:lang w:eastAsia="en-US"/>
        </w:rPr>
        <w:t xml:space="preserve">, przy których aspekt ESG nie był brany pod uwagę.” </w:t>
      </w:r>
    </w:p>
    <w:p w14:paraId="337A828D" w14:textId="77777777" w:rsidR="004C0E31" w:rsidRPr="00707EB9" w:rsidRDefault="004C0E31" w:rsidP="005277F3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</w:p>
    <w:p w14:paraId="4B8C725C" w14:textId="30195159" w:rsidR="002F51B0" w:rsidRPr="00707EB9" w:rsidRDefault="00C3014A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>Najważniejsze te</w:t>
      </w:r>
      <w:r w:rsidR="002F51B0" w:rsidRPr="00707EB9">
        <w:rPr>
          <w:rFonts w:ascii="Arial" w:eastAsia="Calibri" w:hAnsi="Arial" w:cs="Calibri"/>
        </w:rPr>
        <w:t>maty</w:t>
      </w:r>
      <w:r w:rsidR="005277F3">
        <w:rPr>
          <w:rFonts w:ascii="Arial" w:eastAsia="Calibri" w:hAnsi="Arial" w:cs="Calibri"/>
        </w:rPr>
        <w:t xml:space="preserve"> w ujęciu pan-europejskim</w:t>
      </w:r>
      <w:r w:rsidR="002F51B0" w:rsidRPr="00707EB9">
        <w:rPr>
          <w:rFonts w:ascii="Arial" w:eastAsia="Calibri" w:hAnsi="Arial" w:cs="Calibri"/>
        </w:rPr>
        <w:t xml:space="preserve">, na które wskazano </w:t>
      </w:r>
      <w:r w:rsidRPr="00707EB9">
        <w:rPr>
          <w:rFonts w:ascii="Arial" w:eastAsia="Calibri" w:hAnsi="Arial" w:cs="Calibri"/>
        </w:rPr>
        <w:t>w raporcie</w:t>
      </w:r>
      <w:r w:rsidRPr="00707EB9">
        <w:t xml:space="preserve"> </w:t>
      </w:r>
      <w:proofErr w:type="spellStart"/>
      <w:r w:rsidRPr="00707EB9">
        <w:rPr>
          <w:rFonts w:ascii="Arial" w:eastAsia="Calibri" w:hAnsi="Arial" w:cs="Calibri"/>
        </w:rPr>
        <w:t>Savills</w:t>
      </w:r>
      <w:proofErr w:type="spellEnd"/>
      <w:r w:rsidRPr="00707EB9">
        <w:rPr>
          <w:rFonts w:ascii="Arial" w:eastAsia="Calibri" w:hAnsi="Arial" w:cs="Calibri"/>
        </w:rPr>
        <w:t xml:space="preserve"> IM Outlook 2021, obejmują następujące zagadnienia.</w:t>
      </w:r>
    </w:p>
    <w:p w14:paraId="2A58664E" w14:textId="6069085A" w:rsidR="002F51B0" w:rsidRPr="00707EB9" w:rsidRDefault="002F51B0" w:rsidP="005277F3">
      <w:pPr>
        <w:spacing w:after="120" w:line="360" w:lineRule="auto"/>
        <w:jc w:val="both"/>
        <w:rPr>
          <w:rFonts w:ascii="Arial" w:eastAsia="Calibri" w:hAnsi="Arial" w:cs="Calibri"/>
          <w:b/>
        </w:rPr>
      </w:pPr>
      <w:r w:rsidRPr="00707EB9">
        <w:rPr>
          <w:rFonts w:ascii="Arial" w:eastAsia="Calibri" w:hAnsi="Arial" w:cs="Calibri"/>
          <w:b/>
        </w:rPr>
        <w:t xml:space="preserve">Sektor </w:t>
      </w:r>
      <w:r w:rsidR="0044456B" w:rsidRPr="00707EB9">
        <w:rPr>
          <w:rFonts w:ascii="Arial" w:eastAsia="Calibri" w:hAnsi="Arial" w:cs="Calibri"/>
          <w:b/>
        </w:rPr>
        <w:t xml:space="preserve">magazynowy </w:t>
      </w:r>
      <w:r w:rsidR="009D3223" w:rsidRPr="00707EB9">
        <w:rPr>
          <w:rFonts w:ascii="Arial" w:eastAsia="Calibri" w:hAnsi="Arial" w:cs="Calibri"/>
          <w:b/>
        </w:rPr>
        <w:t>będzie preferowany przez</w:t>
      </w:r>
      <w:r w:rsidR="00D57618" w:rsidRPr="00707EB9">
        <w:rPr>
          <w:rFonts w:ascii="Arial" w:eastAsia="Calibri" w:hAnsi="Arial" w:cs="Calibri"/>
          <w:b/>
        </w:rPr>
        <w:t xml:space="preserve"> </w:t>
      </w:r>
      <w:r w:rsidRPr="00707EB9">
        <w:rPr>
          <w:rFonts w:ascii="Arial" w:eastAsia="Calibri" w:hAnsi="Arial" w:cs="Calibri"/>
          <w:b/>
        </w:rPr>
        <w:t>inwestorów w 2021 roku</w:t>
      </w:r>
    </w:p>
    <w:p w14:paraId="1C599A5A" w14:textId="3C369C9A" w:rsidR="002F51B0" w:rsidRPr="00707EB9" w:rsidRDefault="006A2521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 xml:space="preserve">Sektor </w:t>
      </w:r>
      <w:r w:rsidR="0044456B" w:rsidRPr="00707EB9">
        <w:rPr>
          <w:rFonts w:ascii="Arial" w:eastAsia="Calibri" w:hAnsi="Arial" w:cs="Calibri"/>
        </w:rPr>
        <w:t xml:space="preserve">magazynowy </w:t>
      </w:r>
      <w:r w:rsidR="00810CD2" w:rsidRPr="00707EB9">
        <w:rPr>
          <w:rFonts w:ascii="Arial" w:eastAsia="Calibri" w:hAnsi="Arial" w:cs="Calibri"/>
        </w:rPr>
        <w:t>pozostanie</w:t>
      </w:r>
      <w:r w:rsidRPr="00707EB9">
        <w:rPr>
          <w:rFonts w:ascii="Arial" w:eastAsia="Calibri" w:hAnsi="Arial" w:cs="Calibri"/>
        </w:rPr>
        <w:t xml:space="preserve"> jasnym punktem na mapie rynku nieruchomości. </w:t>
      </w:r>
      <w:r w:rsidR="00810CD2" w:rsidRPr="00707EB9">
        <w:rPr>
          <w:rFonts w:ascii="Arial" w:eastAsia="Calibri" w:hAnsi="Arial" w:cs="Calibri"/>
        </w:rPr>
        <w:t xml:space="preserve">Sentyment inwestorów pozostanie pozytywny, między innymi dzięki wzrostowi udziału sprzedaży online i ogólnie </w:t>
      </w:r>
      <w:r w:rsidR="00810CD2" w:rsidRPr="00707EB9">
        <w:rPr>
          <w:rFonts w:ascii="Arial" w:eastAsia="Calibri" w:hAnsi="Arial" w:cs="Calibri"/>
        </w:rPr>
        <w:lastRenderedPageBreak/>
        <w:t xml:space="preserve">niskiemu wskaźnikowi pustostanów. </w:t>
      </w:r>
      <w:proofErr w:type="spellStart"/>
      <w:r w:rsidR="00810CD2" w:rsidRPr="00707EB9">
        <w:rPr>
          <w:rFonts w:ascii="Arial" w:eastAsia="Calibri" w:hAnsi="Arial" w:cs="Calibri"/>
        </w:rPr>
        <w:t>Savills</w:t>
      </w:r>
      <w:proofErr w:type="spellEnd"/>
      <w:r w:rsidR="00810CD2" w:rsidRPr="00707EB9">
        <w:rPr>
          <w:rFonts w:ascii="Arial" w:eastAsia="Calibri" w:hAnsi="Arial" w:cs="Calibri"/>
        </w:rPr>
        <w:t xml:space="preserve"> IM </w:t>
      </w:r>
      <w:r w:rsidRPr="00707EB9">
        <w:rPr>
          <w:rFonts w:ascii="Arial" w:eastAsia="Calibri" w:hAnsi="Arial" w:cs="Calibri"/>
        </w:rPr>
        <w:t xml:space="preserve">rekomenduje inwestycje w nowoczesne centra dystrybucyjne, zlokalizowane </w:t>
      </w:r>
      <w:r w:rsidR="002F51B0" w:rsidRPr="00707EB9">
        <w:rPr>
          <w:rFonts w:ascii="Arial" w:eastAsia="Calibri" w:hAnsi="Arial" w:cs="Calibri"/>
        </w:rPr>
        <w:t>w głównych klastrach logistyczny</w:t>
      </w:r>
      <w:r w:rsidR="00810CD2" w:rsidRPr="00707EB9">
        <w:rPr>
          <w:rFonts w:ascii="Arial" w:eastAsia="Calibri" w:hAnsi="Arial" w:cs="Calibri"/>
        </w:rPr>
        <w:t xml:space="preserve">ch w całej </w:t>
      </w:r>
      <w:r w:rsidRPr="00707EB9">
        <w:rPr>
          <w:rFonts w:ascii="Arial" w:eastAsia="Calibri" w:hAnsi="Arial" w:cs="Calibri"/>
        </w:rPr>
        <w:t>Europie w pobliżu autostrad oraz sieci transpo</w:t>
      </w:r>
      <w:r w:rsidR="00810CD2" w:rsidRPr="00707EB9">
        <w:rPr>
          <w:rFonts w:ascii="Arial" w:eastAsia="Calibri" w:hAnsi="Arial" w:cs="Calibri"/>
        </w:rPr>
        <w:t xml:space="preserve">rtowych, które są zabezpieczone </w:t>
      </w:r>
      <w:r w:rsidRPr="00707EB9">
        <w:rPr>
          <w:rFonts w:ascii="Arial" w:eastAsia="Calibri" w:hAnsi="Arial" w:cs="Calibri"/>
        </w:rPr>
        <w:t>długoterminowymi umowami.</w:t>
      </w:r>
      <w:r w:rsidR="002F51B0" w:rsidRPr="00707EB9">
        <w:rPr>
          <w:rFonts w:ascii="Arial" w:eastAsia="Calibri" w:hAnsi="Arial" w:cs="Calibri"/>
        </w:rPr>
        <w:t xml:space="preserve"> </w:t>
      </w:r>
    </w:p>
    <w:p w14:paraId="141FF200" w14:textId="19292457" w:rsidR="006A2521" w:rsidRPr="00707EB9" w:rsidRDefault="00A036C2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>Ponadto</w:t>
      </w:r>
      <w:r w:rsidR="006A2521" w:rsidRPr="00707EB9">
        <w:rPr>
          <w:rFonts w:ascii="Arial" w:eastAsia="Calibri" w:hAnsi="Arial" w:cs="Calibri"/>
        </w:rPr>
        <w:t xml:space="preserve">, </w:t>
      </w:r>
      <w:r w:rsidR="00163011" w:rsidRPr="00707EB9">
        <w:rPr>
          <w:rFonts w:ascii="Arial" w:eastAsia="Calibri" w:hAnsi="Arial" w:cs="Calibri"/>
        </w:rPr>
        <w:t>rekomendacje obejmują strategię ukierunkowaną</w:t>
      </w:r>
      <w:r w:rsidR="006A2521" w:rsidRPr="00707EB9">
        <w:rPr>
          <w:rFonts w:ascii="Arial" w:eastAsia="Calibri" w:hAnsi="Arial" w:cs="Calibri"/>
        </w:rPr>
        <w:t xml:space="preserve"> na miejskie centra logistyczne</w:t>
      </w:r>
      <w:r w:rsidR="00163011" w:rsidRPr="00707EB9">
        <w:rPr>
          <w:rFonts w:ascii="Arial" w:eastAsia="Calibri" w:hAnsi="Arial" w:cs="Calibri"/>
        </w:rPr>
        <w:t>,</w:t>
      </w:r>
      <w:r w:rsidR="00D4517D" w:rsidRPr="00707EB9">
        <w:rPr>
          <w:rFonts w:ascii="Arial" w:eastAsia="Calibri" w:hAnsi="Arial" w:cs="Calibri"/>
        </w:rPr>
        <w:t xml:space="preserve"> która </w:t>
      </w:r>
      <w:r w:rsidRPr="00707EB9">
        <w:rPr>
          <w:rFonts w:ascii="Arial" w:eastAsia="Calibri" w:hAnsi="Arial" w:cs="Calibri"/>
        </w:rPr>
        <w:t>mimo pogarszającej się koniunktury na rynku,</w:t>
      </w:r>
      <w:r w:rsidR="00D4517D" w:rsidRPr="00707EB9">
        <w:rPr>
          <w:rFonts w:ascii="Arial" w:eastAsia="Calibri" w:hAnsi="Arial" w:cs="Calibri"/>
        </w:rPr>
        <w:t xml:space="preserve"> pozwala</w:t>
      </w:r>
      <w:r w:rsidR="00D53085" w:rsidRPr="00707EB9">
        <w:rPr>
          <w:rFonts w:ascii="Arial" w:eastAsia="Calibri" w:hAnsi="Arial" w:cs="Calibri"/>
        </w:rPr>
        <w:t xml:space="preserve"> </w:t>
      </w:r>
      <w:r w:rsidRPr="00707EB9">
        <w:rPr>
          <w:rFonts w:ascii="Arial" w:eastAsia="Calibri" w:hAnsi="Arial" w:cs="Calibri"/>
        </w:rPr>
        <w:t>wykorzystać trend</w:t>
      </w:r>
      <w:r w:rsidR="006A2521" w:rsidRPr="00707EB9">
        <w:rPr>
          <w:rFonts w:ascii="Arial" w:eastAsia="Calibri" w:hAnsi="Arial" w:cs="Calibri"/>
        </w:rPr>
        <w:t xml:space="preserve"> rozwoju e-handlu</w:t>
      </w:r>
      <w:r w:rsidR="00D4517D" w:rsidRPr="00707EB9">
        <w:rPr>
          <w:rFonts w:ascii="Arial" w:eastAsia="Calibri" w:hAnsi="Arial" w:cs="Calibri"/>
        </w:rPr>
        <w:t xml:space="preserve"> </w:t>
      </w:r>
      <w:r w:rsidRPr="00707EB9">
        <w:rPr>
          <w:rFonts w:ascii="Arial" w:eastAsia="Calibri" w:hAnsi="Arial" w:cs="Calibri"/>
        </w:rPr>
        <w:t>i postępującej</w:t>
      </w:r>
      <w:r w:rsidR="006A2521" w:rsidRPr="00707EB9">
        <w:rPr>
          <w:rFonts w:ascii="Arial" w:eastAsia="Calibri" w:hAnsi="Arial" w:cs="Calibri"/>
        </w:rPr>
        <w:t xml:space="preserve"> urbanizacji</w:t>
      </w:r>
      <w:r w:rsidRPr="00707EB9">
        <w:rPr>
          <w:rFonts w:ascii="Arial" w:eastAsia="Calibri" w:hAnsi="Arial" w:cs="Calibri"/>
        </w:rPr>
        <w:t>.</w:t>
      </w:r>
      <w:r w:rsidR="00D4517D" w:rsidRPr="00707EB9">
        <w:rPr>
          <w:rFonts w:ascii="Arial" w:eastAsia="Calibri" w:hAnsi="Arial" w:cs="Calibri"/>
        </w:rPr>
        <w:t xml:space="preserve"> </w:t>
      </w:r>
      <w:r w:rsidR="006A2521" w:rsidRPr="00707EB9">
        <w:rPr>
          <w:rFonts w:ascii="Arial" w:eastAsia="Calibri" w:hAnsi="Arial" w:cs="Calibri"/>
        </w:rPr>
        <w:t xml:space="preserve">Z badań przeprowadzonych przez </w:t>
      </w:r>
      <w:proofErr w:type="spellStart"/>
      <w:r w:rsidR="006A2521" w:rsidRPr="00707EB9">
        <w:rPr>
          <w:rFonts w:ascii="Arial" w:eastAsia="Calibri" w:hAnsi="Arial" w:cs="Calibri"/>
        </w:rPr>
        <w:t>Savills</w:t>
      </w:r>
      <w:proofErr w:type="spellEnd"/>
      <w:r w:rsidR="006A2521" w:rsidRPr="00707EB9">
        <w:rPr>
          <w:rFonts w:ascii="Arial" w:eastAsia="Calibri" w:hAnsi="Arial" w:cs="Calibri"/>
        </w:rPr>
        <w:t xml:space="preserve"> IM wynika, że logistyka jest czołowym sektorem preferowanym przez inw</w:t>
      </w:r>
      <w:r w:rsidR="00163011" w:rsidRPr="00707EB9">
        <w:rPr>
          <w:rFonts w:ascii="Arial" w:eastAsia="Calibri" w:hAnsi="Arial" w:cs="Calibri"/>
        </w:rPr>
        <w:t xml:space="preserve">estorów na rynku nieruchomości – 57% </w:t>
      </w:r>
      <w:r w:rsidR="00D4517D" w:rsidRPr="00707EB9">
        <w:rPr>
          <w:rFonts w:ascii="Arial" w:eastAsia="Calibri" w:hAnsi="Arial" w:cs="Calibri"/>
        </w:rPr>
        <w:t xml:space="preserve">z nich </w:t>
      </w:r>
      <w:r w:rsidR="00163011" w:rsidRPr="00707EB9">
        <w:rPr>
          <w:rFonts w:ascii="Arial" w:eastAsia="Calibri" w:hAnsi="Arial" w:cs="Calibri"/>
        </w:rPr>
        <w:t>przewiduje wzrastające inwestycje w duże centr</w:t>
      </w:r>
      <w:r w:rsidR="00D4517D" w:rsidRPr="00707EB9">
        <w:rPr>
          <w:rFonts w:ascii="Arial" w:eastAsia="Calibri" w:hAnsi="Arial" w:cs="Calibri"/>
        </w:rPr>
        <w:t xml:space="preserve">a dystrybucyjne, natomiast 55% </w:t>
      </w:r>
      <w:r w:rsidR="00163011" w:rsidRPr="00707EB9">
        <w:rPr>
          <w:rFonts w:ascii="Arial" w:eastAsia="Calibri" w:hAnsi="Arial" w:cs="Calibri"/>
        </w:rPr>
        <w:t>w logistykę ostatniej mili oraz miejskie magazyny.</w:t>
      </w:r>
    </w:p>
    <w:p w14:paraId="3A70CDF3" w14:textId="209CAF45" w:rsidR="00163011" w:rsidRPr="00707EB9" w:rsidRDefault="00163011" w:rsidP="005277F3">
      <w:pPr>
        <w:pStyle w:val="Bullet"/>
        <w:numPr>
          <w:ilvl w:val="0"/>
          <w:numId w:val="0"/>
        </w:numPr>
        <w:spacing w:after="120" w:line="360" w:lineRule="auto"/>
        <w:contextualSpacing/>
        <w:jc w:val="both"/>
        <w:rPr>
          <w:rFonts w:cs="Arial"/>
          <w:color w:val="auto"/>
          <w:sz w:val="20"/>
        </w:rPr>
      </w:pPr>
      <w:r w:rsidRPr="00707EB9">
        <w:rPr>
          <w:color w:val="auto"/>
          <w:sz w:val="20"/>
        </w:rPr>
        <w:t xml:space="preserve">Kluczowe </w:t>
      </w:r>
      <w:r w:rsidR="00F51676" w:rsidRPr="00707EB9">
        <w:rPr>
          <w:color w:val="auto"/>
          <w:sz w:val="20"/>
        </w:rPr>
        <w:t xml:space="preserve">rekomendacje </w:t>
      </w:r>
      <w:r w:rsidRPr="00707EB9">
        <w:rPr>
          <w:color w:val="auto"/>
          <w:sz w:val="20"/>
        </w:rPr>
        <w:t>inwestycyjne:</w:t>
      </w:r>
    </w:p>
    <w:p w14:paraId="1499C104" w14:textId="35FF50F4" w:rsidR="00163011" w:rsidRPr="00707EB9" w:rsidRDefault="00163011" w:rsidP="005277F3">
      <w:pPr>
        <w:pStyle w:val="Bullet"/>
        <w:numPr>
          <w:ilvl w:val="0"/>
          <w:numId w:val="22"/>
        </w:numPr>
        <w:spacing w:after="120" w:line="360" w:lineRule="auto"/>
        <w:contextualSpacing/>
        <w:jc w:val="both"/>
        <w:rPr>
          <w:rFonts w:eastAsia="Times New Roman" w:cs="Arial"/>
          <w:color w:val="auto"/>
          <w:sz w:val="20"/>
        </w:rPr>
      </w:pPr>
      <w:r w:rsidRPr="00707EB9">
        <w:rPr>
          <w:color w:val="auto"/>
          <w:sz w:val="20"/>
        </w:rPr>
        <w:t>Aktywa najlepszej jakości (</w:t>
      </w:r>
      <w:proofErr w:type="spellStart"/>
      <w:r w:rsidRPr="00707EB9">
        <w:rPr>
          <w:color w:val="auto"/>
          <w:sz w:val="20"/>
        </w:rPr>
        <w:t>core</w:t>
      </w:r>
      <w:proofErr w:type="spellEnd"/>
      <w:r w:rsidRPr="00707EB9">
        <w:rPr>
          <w:color w:val="auto"/>
          <w:sz w:val="20"/>
        </w:rPr>
        <w:t xml:space="preserve"> oraz </w:t>
      </w:r>
      <w:proofErr w:type="spellStart"/>
      <w:r w:rsidRPr="00707EB9">
        <w:rPr>
          <w:color w:val="auto"/>
          <w:sz w:val="20"/>
        </w:rPr>
        <w:t>core</w:t>
      </w:r>
      <w:proofErr w:type="spellEnd"/>
      <w:r w:rsidRPr="00707EB9">
        <w:rPr>
          <w:color w:val="auto"/>
          <w:sz w:val="20"/>
        </w:rPr>
        <w:t xml:space="preserve"> plus) z dobrymi</w:t>
      </w:r>
      <w:r w:rsidR="00545B03" w:rsidRPr="00707EB9">
        <w:rPr>
          <w:color w:val="auto"/>
          <w:sz w:val="20"/>
        </w:rPr>
        <w:t>,</w:t>
      </w:r>
      <w:r w:rsidRPr="00707EB9">
        <w:rPr>
          <w:color w:val="auto"/>
          <w:sz w:val="20"/>
        </w:rPr>
        <w:t xml:space="preserve"> długoterminowym</w:t>
      </w:r>
      <w:r w:rsidR="00545B03" w:rsidRPr="00707EB9">
        <w:rPr>
          <w:color w:val="auto"/>
          <w:sz w:val="20"/>
        </w:rPr>
        <w:t>i</w:t>
      </w:r>
      <w:r w:rsidRPr="00707EB9">
        <w:rPr>
          <w:color w:val="auto"/>
          <w:sz w:val="20"/>
        </w:rPr>
        <w:t xml:space="preserve"> umowami </w:t>
      </w:r>
      <w:r w:rsidR="00C22BDD">
        <w:rPr>
          <w:color w:val="auto"/>
          <w:sz w:val="20"/>
        </w:rPr>
        <w:br/>
      </w:r>
      <w:r w:rsidRPr="00707EB9">
        <w:rPr>
          <w:color w:val="auto"/>
          <w:sz w:val="20"/>
        </w:rPr>
        <w:t>w głównych klastrach logistycznych w całej Europie</w:t>
      </w:r>
      <w:r w:rsidR="00D57618" w:rsidRPr="00707EB9">
        <w:rPr>
          <w:color w:val="auto"/>
          <w:sz w:val="20"/>
        </w:rPr>
        <w:t>.</w:t>
      </w:r>
    </w:p>
    <w:p w14:paraId="698E72D8" w14:textId="19613BA6" w:rsidR="00163011" w:rsidRPr="00707EB9" w:rsidRDefault="00163011" w:rsidP="005277F3">
      <w:pPr>
        <w:pStyle w:val="Bullet"/>
        <w:numPr>
          <w:ilvl w:val="0"/>
          <w:numId w:val="22"/>
        </w:numPr>
        <w:spacing w:after="120" w:line="360" w:lineRule="auto"/>
        <w:contextualSpacing/>
        <w:jc w:val="both"/>
        <w:rPr>
          <w:rFonts w:eastAsia="Times New Roman" w:cs="Arial"/>
          <w:color w:val="auto"/>
          <w:sz w:val="20"/>
        </w:rPr>
      </w:pPr>
      <w:r w:rsidRPr="00707EB9">
        <w:rPr>
          <w:color w:val="auto"/>
          <w:sz w:val="20"/>
        </w:rPr>
        <w:t>Nowoczesne centra dystrybucyjne przy głównych autostradach oraz sieciach transportowych, takich</w:t>
      </w:r>
      <w:r w:rsidR="008A130A" w:rsidRPr="00707EB9">
        <w:rPr>
          <w:color w:val="auto"/>
          <w:sz w:val="20"/>
        </w:rPr>
        <w:t>,</w:t>
      </w:r>
      <w:r w:rsidRPr="00707EB9">
        <w:rPr>
          <w:color w:val="auto"/>
          <w:sz w:val="20"/>
        </w:rPr>
        <w:t xml:space="preserve"> jak</w:t>
      </w:r>
      <w:r w:rsidR="008A130A" w:rsidRPr="00707EB9">
        <w:rPr>
          <w:color w:val="auto"/>
          <w:sz w:val="20"/>
        </w:rPr>
        <w:t>: korytarze Morze Północne – Bałtyckie</w:t>
      </w:r>
      <w:r w:rsidRPr="00707EB9">
        <w:rPr>
          <w:color w:val="auto"/>
          <w:sz w:val="20"/>
        </w:rPr>
        <w:t>, Morze Północne</w:t>
      </w:r>
      <w:r w:rsidR="008A130A" w:rsidRPr="00707EB9">
        <w:rPr>
          <w:color w:val="auto"/>
          <w:sz w:val="20"/>
        </w:rPr>
        <w:t xml:space="preserve"> – Śródziemnomorskie</w:t>
      </w:r>
      <w:r w:rsidRPr="00707EB9">
        <w:rPr>
          <w:color w:val="auto"/>
          <w:sz w:val="20"/>
        </w:rPr>
        <w:t xml:space="preserve"> oraz korytarz atlantycki</w:t>
      </w:r>
      <w:r w:rsidR="00D57618" w:rsidRPr="00707EB9">
        <w:rPr>
          <w:color w:val="auto"/>
          <w:sz w:val="20"/>
        </w:rPr>
        <w:t>.</w:t>
      </w:r>
    </w:p>
    <w:p w14:paraId="18D8B1BF" w14:textId="423A0F12" w:rsidR="00163011" w:rsidRPr="00707EB9" w:rsidRDefault="00163011" w:rsidP="005277F3">
      <w:pPr>
        <w:pStyle w:val="Bullet"/>
        <w:numPr>
          <w:ilvl w:val="0"/>
          <w:numId w:val="22"/>
        </w:numPr>
        <w:spacing w:after="120" w:line="360" w:lineRule="auto"/>
        <w:contextualSpacing/>
        <w:jc w:val="both"/>
        <w:rPr>
          <w:rFonts w:eastAsia="Times New Roman" w:cs="Arial"/>
          <w:color w:val="auto"/>
          <w:sz w:val="20"/>
        </w:rPr>
      </w:pPr>
      <w:r w:rsidRPr="00707EB9">
        <w:rPr>
          <w:color w:val="auto"/>
          <w:sz w:val="20"/>
        </w:rPr>
        <w:t>Obiekty logistyczne na rynkach regionalnych w dobrze skomunikowanych lokalizacjach we Francji, Niemczech i Wielkiej Brytanii</w:t>
      </w:r>
      <w:r w:rsidR="00D57618" w:rsidRPr="00707EB9">
        <w:rPr>
          <w:color w:val="auto"/>
          <w:sz w:val="20"/>
        </w:rPr>
        <w:t>.</w:t>
      </w:r>
    </w:p>
    <w:p w14:paraId="37C32F0A" w14:textId="1ED16F18" w:rsidR="009C10C3" w:rsidRPr="004C0E31" w:rsidRDefault="00163011" w:rsidP="004C0E31">
      <w:pPr>
        <w:pStyle w:val="Bullet"/>
        <w:numPr>
          <w:ilvl w:val="0"/>
          <w:numId w:val="22"/>
        </w:numPr>
        <w:spacing w:after="120" w:line="360" w:lineRule="auto"/>
        <w:contextualSpacing/>
        <w:jc w:val="both"/>
        <w:rPr>
          <w:rFonts w:eastAsia="Times New Roman" w:cs="Arial"/>
          <w:color w:val="auto"/>
          <w:sz w:val="20"/>
        </w:rPr>
      </w:pPr>
      <w:r w:rsidRPr="00707EB9">
        <w:rPr>
          <w:color w:val="auto"/>
          <w:sz w:val="20"/>
        </w:rPr>
        <w:t xml:space="preserve">Obiekty logistyczne w obszarach miejskich i nieruchomości typu </w:t>
      </w:r>
      <w:proofErr w:type="spellStart"/>
      <w:r w:rsidRPr="00707EB9">
        <w:rPr>
          <w:color w:val="auto"/>
          <w:sz w:val="20"/>
        </w:rPr>
        <w:t>multi-let</w:t>
      </w:r>
      <w:proofErr w:type="spellEnd"/>
      <w:r w:rsidRPr="00707EB9">
        <w:rPr>
          <w:color w:val="auto"/>
          <w:sz w:val="20"/>
        </w:rPr>
        <w:t xml:space="preserve"> w pobliżu dużych </w:t>
      </w:r>
      <w:r w:rsidR="00C22BDD">
        <w:rPr>
          <w:color w:val="auto"/>
          <w:sz w:val="20"/>
        </w:rPr>
        <w:br/>
      </w:r>
      <w:r w:rsidRPr="00707EB9">
        <w:rPr>
          <w:color w:val="auto"/>
          <w:sz w:val="20"/>
        </w:rPr>
        <w:t>i gęsto zaludnionych obszarów w całej Europie</w:t>
      </w:r>
      <w:r w:rsidR="00D57618" w:rsidRPr="00707EB9">
        <w:rPr>
          <w:color w:val="auto"/>
          <w:sz w:val="20"/>
        </w:rPr>
        <w:t>.</w:t>
      </w:r>
    </w:p>
    <w:p w14:paraId="50126CEB" w14:textId="77777777" w:rsidR="005277F3" w:rsidRDefault="005E116C" w:rsidP="005277F3">
      <w:pPr>
        <w:spacing w:after="120" w:line="360" w:lineRule="auto"/>
        <w:jc w:val="both"/>
        <w:rPr>
          <w:rFonts w:ascii="Arial" w:eastAsia="Calibri" w:hAnsi="Arial" w:cs="Arial"/>
        </w:rPr>
      </w:pPr>
      <w:r w:rsidRPr="00707EB9">
        <w:rPr>
          <w:rFonts w:ascii="Arial" w:eastAsia="Calibri" w:hAnsi="Arial" w:cs="Calibri"/>
          <w:b/>
        </w:rPr>
        <w:t>Sektor handlowy – odporność handlu detalicznego w segmencie spożywczym</w:t>
      </w:r>
      <w:r w:rsidR="009C10C3" w:rsidRPr="00707EB9">
        <w:rPr>
          <w:rFonts w:ascii="Arial" w:eastAsia="Calibri" w:hAnsi="Arial" w:cs="Calibri"/>
          <w:b/>
        </w:rPr>
        <w:t xml:space="preserve"> i dyskontów</w:t>
      </w:r>
    </w:p>
    <w:p w14:paraId="742E41B0" w14:textId="6DE962A3" w:rsidR="005E116C" w:rsidRPr="005277F3" w:rsidRDefault="005E116C" w:rsidP="005277F3">
      <w:pPr>
        <w:spacing w:after="120" w:line="360" w:lineRule="auto"/>
        <w:jc w:val="both"/>
        <w:rPr>
          <w:rFonts w:ascii="Arial" w:eastAsia="Calibri" w:hAnsi="Arial" w:cs="Arial"/>
        </w:rPr>
      </w:pPr>
      <w:r w:rsidRPr="00707EB9">
        <w:rPr>
          <w:rFonts w:ascii="Arial" w:eastAsia="Calibri" w:hAnsi="Arial" w:cs="Calibri"/>
        </w:rPr>
        <w:t xml:space="preserve">Aktywa </w:t>
      </w:r>
      <w:r w:rsidR="00A036C2" w:rsidRPr="00707EB9">
        <w:rPr>
          <w:rFonts w:ascii="Arial" w:eastAsia="Calibri" w:hAnsi="Arial" w:cs="Calibri"/>
        </w:rPr>
        <w:t xml:space="preserve">oparte na </w:t>
      </w:r>
      <w:r w:rsidRPr="00707EB9">
        <w:rPr>
          <w:rFonts w:ascii="Arial" w:eastAsia="Calibri" w:hAnsi="Arial" w:cs="Calibri"/>
        </w:rPr>
        <w:t>segmencie spożywczym,</w:t>
      </w:r>
      <w:r w:rsidR="009A28FF" w:rsidRPr="00707EB9">
        <w:rPr>
          <w:rFonts w:ascii="Arial" w:eastAsia="Calibri" w:hAnsi="Arial" w:cs="Calibri"/>
        </w:rPr>
        <w:t xml:space="preserve"> cechują się relatywnie stabilnym </w:t>
      </w:r>
      <w:proofErr w:type="spellStart"/>
      <w:r w:rsidR="009A28FF" w:rsidRPr="00707EB9">
        <w:rPr>
          <w:rFonts w:ascii="Arial" w:eastAsia="Calibri" w:hAnsi="Arial" w:cs="Calibri"/>
        </w:rPr>
        <w:t>cash</w:t>
      </w:r>
      <w:proofErr w:type="spellEnd"/>
      <w:r w:rsidR="009A28FF" w:rsidRPr="00707EB9">
        <w:rPr>
          <w:rFonts w:ascii="Arial" w:eastAsia="Calibri" w:hAnsi="Arial" w:cs="Calibri"/>
        </w:rPr>
        <w:t xml:space="preserve"> </w:t>
      </w:r>
      <w:proofErr w:type="spellStart"/>
      <w:r w:rsidR="009A28FF" w:rsidRPr="00707EB9">
        <w:rPr>
          <w:rFonts w:ascii="Arial" w:eastAsia="Calibri" w:hAnsi="Arial" w:cs="Calibri"/>
        </w:rPr>
        <w:t>flow</w:t>
      </w:r>
      <w:proofErr w:type="spellEnd"/>
      <w:r w:rsidRPr="00707EB9">
        <w:rPr>
          <w:rFonts w:ascii="Arial" w:eastAsia="Calibri" w:hAnsi="Arial" w:cs="Calibri"/>
        </w:rPr>
        <w:t xml:space="preserve">, dzięki czemu </w:t>
      </w:r>
      <w:r w:rsidR="009A28FF" w:rsidRPr="00707EB9">
        <w:rPr>
          <w:rFonts w:ascii="Arial" w:eastAsia="Calibri" w:hAnsi="Arial" w:cs="Calibri"/>
        </w:rPr>
        <w:t>będą odpowiednim produktem</w:t>
      </w:r>
      <w:r w:rsidRPr="00707EB9">
        <w:rPr>
          <w:rFonts w:ascii="Arial" w:eastAsia="Calibri" w:hAnsi="Arial" w:cs="Calibri"/>
        </w:rPr>
        <w:t xml:space="preserve"> dla inwestorów zainteresowanych strategią typu </w:t>
      </w:r>
      <w:proofErr w:type="spellStart"/>
      <w:r w:rsidRPr="00707EB9">
        <w:rPr>
          <w:rFonts w:ascii="Arial" w:eastAsia="Calibri" w:hAnsi="Arial" w:cs="Calibri"/>
        </w:rPr>
        <w:t>core</w:t>
      </w:r>
      <w:proofErr w:type="spellEnd"/>
      <w:r w:rsidRPr="00707EB9">
        <w:rPr>
          <w:rFonts w:ascii="Arial" w:eastAsia="Calibri" w:hAnsi="Arial" w:cs="Calibri"/>
        </w:rPr>
        <w:t>/</w:t>
      </w:r>
      <w:proofErr w:type="spellStart"/>
      <w:r w:rsidRPr="00707EB9">
        <w:rPr>
          <w:rFonts w:ascii="Arial" w:eastAsia="Calibri" w:hAnsi="Arial" w:cs="Calibri"/>
        </w:rPr>
        <w:t>core</w:t>
      </w:r>
      <w:proofErr w:type="spellEnd"/>
      <w:r w:rsidRPr="00707EB9">
        <w:rPr>
          <w:rFonts w:ascii="Arial" w:eastAsia="Calibri" w:hAnsi="Arial" w:cs="Calibri"/>
        </w:rPr>
        <w:t>-pl</w:t>
      </w:r>
      <w:r w:rsidR="00D4517D" w:rsidRPr="00707EB9">
        <w:rPr>
          <w:rFonts w:ascii="Arial" w:eastAsia="Calibri" w:hAnsi="Arial" w:cs="Calibri"/>
        </w:rPr>
        <w:t xml:space="preserve">us. Z badań </w:t>
      </w:r>
      <w:proofErr w:type="spellStart"/>
      <w:r w:rsidR="00D4517D" w:rsidRPr="00707EB9">
        <w:rPr>
          <w:rFonts w:ascii="Arial" w:eastAsia="Calibri" w:hAnsi="Arial" w:cs="Calibri"/>
        </w:rPr>
        <w:t>Savills</w:t>
      </w:r>
      <w:proofErr w:type="spellEnd"/>
      <w:r w:rsidR="00D4517D" w:rsidRPr="00707EB9">
        <w:rPr>
          <w:rFonts w:ascii="Arial" w:eastAsia="Calibri" w:hAnsi="Arial" w:cs="Calibri"/>
        </w:rPr>
        <w:t xml:space="preserve"> IM wynika, </w:t>
      </w:r>
      <w:r w:rsidRPr="00707EB9">
        <w:rPr>
          <w:rFonts w:ascii="Arial" w:eastAsia="Calibri" w:hAnsi="Arial" w:cs="Calibri"/>
        </w:rPr>
        <w:t>że 80%</w:t>
      </w:r>
      <w:r w:rsidR="009A28FF" w:rsidRPr="00707EB9">
        <w:rPr>
          <w:rFonts w:ascii="Arial" w:eastAsia="Calibri" w:hAnsi="Arial" w:cs="Calibri"/>
        </w:rPr>
        <w:t xml:space="preserve"> globalnych</w:t>
      </w:r>
      <w:r w:rsidRPr="00707EB9">
        <w:rPr>
          <w:rFonts w:ascii="Arial" w:eastAsia="Calibri" w:hAnsi="Arial" w:cs="Calibri"/>
        </w:rPr>
        <w:t xml:space="preserve"> inwestorów na rynku nieruchomości spodziewa się, że inwestycje w obiekty </w:t>
      </w:r>
      <w:r w:rsidR="009A28FF" w:rsidRPr="00707EB9">
        <w:rPr>
          <w:rFonts w:ascii="Arial" w:eastAsia="Calibri" w:hAnsi="Arial" w:cs="Calibri"/>
        </w:rPr>
        <w:t>handlowe oparte na ofercie spożywczej</w:t>
      </w:r>
      <w:r w:rsidRPr="00707EB9">
        <w:rPr>
          <w:rFonts w:ascii="Arial" w:eastAsia="Calibri" w:hAnsi="Arial" w:cs="Calibri"/>
        </w:rPr>
        <w:t xml:space="preserve"> wzrosną lub pozostaną na tym samym poziomie. Atrakcyjne z</w:t>
      </w:r>
      <w:r w:rsidR="0009183A" w:rsidRPr="00707EB9">
        <w:rPr>
          <w:rFonts w:ascii="Arial" w:eastAsia="Calibri" w:hAnsi="Arial" w:cs="Calibri"/>
        </w:rPr>
        <w:t>wroty</w:t>
      </w:r>
      <w:r w:rsidRPr="00707EB9">
        <w:rPr>
          <w:rFonts w:ascii="Arial" w:eastAsia="Calibri" w:hAnsi="Arial" w:cs="Calibri"/>
        </w:rPr>
        <w:t xml:space="preserve"> skorygowane o ryzyko są nadal dostępne również dla inwestorów w segmencie centrów </w:t>
      </w:r>
      <w:r w:rsidR="009D3223" w:rsidRPr="00707EB9">
        <w:rPr>
          <w:rFonts w:ascii="Arial" w:eastAsia="Calibri" w:hAnsi="Arial" w:cs="Calibri"/>
        </w:rPr>
        <w:t xml:space="preserve">typu </w:t>
      </w:r>
      <w:proofErr w:type="spellStart"/>
      <w:r w:rsidRPr="00707EB9">
        <w:rPr>
          <w:rFonts w:ascii="Arial" w:eastAsia="Calibri" w:hAnsi="Arial" w:cs="Calibri"/>
        </w:rPr>
        <w:t>outlet</w:t>
      </w:r>
      <w:proofErr w:type="spellEnd"/>
      <w:r w:rsidRPr="00707EB9">
        <w:rPr>
          <w:rFonts w:ascii="Arial" w:eastAsia="Calibri" w:hAnsi="Arial" w:cs="Calibri"/>
        </w:rPr>
        <w:t xml:space="preserve"> w Europie Zachodniej.</w:t>
      </w:r>
    </w:p>
    <w:p w14:paraId="0AD0D0B3" w14:textId="37852B8C" w:rsidR="009C10C3" w:rsidRPr="00707EB9" w:rsidRDefault="005E116C" w:rsidP="005277F3">
      <w:pPr>
        <w:spacing w:before="100" w:beforeAutospacing="1" w:after="120" w:line="360" w:lineRule="auto"/>
        <w:contextualSpacing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 xml:space="preserve">Kluczowe </w:t>
      </w:r>
      <w:r w:rsidR="00F51676" w:rsidRPr="00707EB9">
        <w:rPr>
          <w:rFonts w:ascii="Arial" w:eastAsia="Calibri" w:hAnsi="Arial" w:cs="Calibri"/>
        </w:rPr>
        <w:t xml:space="preserve">rekomendacje </w:t>
      </w:r>
      <w:r w:rsidRPr="00707EB9">
        <w:rPr>
          <w:rFonts w:ascii="Arial" w:eastAsia="Calibri" w:hAnsi="Arial" w:cs="Calibri"/>
        </w:rPr>
        <w:t>inwestycyjne</w:t>
      </w:r>
      <w:r w:rsidR="009C10C3" w:rsidRPr="00707EB9">
        <w:rPr>
          <w:rFonts w:ascii="Arial" w:eastAsia="Calibri" w:hAnsi="Arial" w:cs="Calibri"/>
        </w:rPr>
        <w:t>:</w:t>
      </w:r>
    </w:p>
    <w:p w14:paraId="07E3280A" w14:textId="49C239F9" w:rsidR="009C10C3" w:rsidRPr="00707EB9" w:rsidRDefault="009C10C3" w:rsidP="005277F3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707EB9">
        <w:rPr>
          <w:rFonts w:ascii="Arial" w:eastAsia="Calibri" w:hAnsi="Arial" w:cs="Calibri"/>
        </w:rPr>
        <w:t xml:space="preserve">Duże parki handlowe z bogatą ofertą gastronomiczną oraz centra dzielnicowe </w:t>
      </w:r>
      <w:r w:rsidR="005E116C" w:rsidRPr="00707EB9">
        <w:rPr>
          <w:rFonts w:ascii="Arial" w:eastAsia="Calibri" w:hAnsi="Arial" w:cs="Calibri"/>
        </w:rPr>
        <w:br/>
      </w:r>
      <w:r w:rsidRPr="00707EB9">
        <w:rPr>
          <w:rFonts w:ascii="Arial" w:eastAsia="Calibri" w:hAnsi="Arial" w:cs="Calibri"/>
        </w:rPr>
        <w:t>w największych aglomeracjach w całej Europie</w:t>
      </w:r>
      <w:r w:rsidR="00D57618" w:rsidRPr="00707EB9">
        <w:rPr>
          <w:rFonts w:ascii="Arial" w:eastAsia="Calibri" w:hAnsi="Arial" w:cs="Calibri"/>
        </w:rPr>
        <w:t>.</w:t>
      </w:r>
    </w:p>
    <w:p w14:paraId="3083C646" w14:textId="305ECBA6" w:rsidR="009C10C3" w:rsidRPr="00707EB9" w:rsidRDefault="005E116C" w:rsidP="005277F3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707EB9">
        <w:rPr>
          <w:rFonts w:ascii="Arial" w:eastAsia="Calibri" w:hAnsi="Arial" w:cs="Calibri"/>
        </w:rPr>
        <w:t xml:space="preserve">Formaty handlowe z </w:t>
      </w:r>
      <w:r w:rsidR="009C10C3" w:rsidRPr="00707EB9">
        <w:rPr>
          <w:rFonts w:ascii="Arial" w:eastAsia="Calibri" w:hAnsi="Arial" w:cs="Calibri"/>
        </w:rPr>
        <w:t>artykułami codziennego użytku i artykułami spożywczymi</w:t>
      </w:r>
      <w:r w:rsidRPr="00707EB9">
        <w:rPr>
          <w:rFonts w:ascii="Arial" w:eastAsia="Calibri" w:hAnsi="Arial" w:cs="Calibri"/>
        </w:rPr>
        <w:t>, takie jak</w:t>
      </w:r>
      <w:r w:rsidR="00545B03" w:rsidRPr="00707EB9">
        <w:rPr>
          <w:rFonts w:ascii="Arial" w:eastAsia="Calibri" w:hAnsi="Arial" w:cs="Calibri"/>
        </w:rPr>
        <w:t>:</w:t>
      </w:r>
      <w:r w:rsidRPr="00707EB9">
        <w:rPr>
          <w:rFonts w:ascii="Arial" w:eastAsia="Calibri" w:hAnsi="Arial" w:cs="Calibri"/>
        </w:rPr>
        <w:t xml:space="preserve"> supermarkety i sklepy dyskontowe</w:t>
      </w:r>
      <w:r w:rsidR="009C10C3" w:rsidRPr="00707EB9">
        <w:rPr>
          <w:rFonts w:ascii="Arial" w:eastAsia="Calibri" w:hAnsi="Arial" w:cs="Calibri"/>
        </w:rPr>
        <w:t xml:space="preserve"> </w:t>
      </w:r>
      <w:r w:rsidR="0009183A" w:rsidRPr="00707EB9">
        <w:rPr>
          <w:rFonts w:ascii="Arial" w:eastAsia="Calibri" w:hAnsi="Arial" w:cs="Calibri"/>
        </w:rPr>
        <w:t>na terenach</w:t>
      </w:r>
      <w:r w:rsidR="009C10C3" w:rsidRPr="00707EB9">
        <w:rPr>
          <w:rFonts w:ascii="Arial" w:eastAsia="Calibri" w:hAnsi="Arial" w:cs="Calibri"/>
        </w:rPr>
        <w:t xml:space="preserve"> miejskich w całej Europie</w:t>
      </w:r>
      <w:r w:rsidR="00D57618" w:rsidRPr="00707EB9">
        <w:rPr>
          <w:rFonts w:ascii="Arial" w:eastAsia="Calibri" w:hAnsi="Arial" w:cs="Calibri"/>
        </w:rPr>
        <w:t>.</w:t>
      </w:r>
    </w:p>
    <w:p w14:paraId="733979AF" w14:textId="12C1B100" w:rsidR="009C10C3" w:rsidRDefault="0009183A" w:rsidP="005277F3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707EB9">
        <w:rPr>
          <w:rFonts w:ascii="Arial" w:eastAsia="Calibri" w:hAnsi="Arial" w:cs="Calibri"/>
        </w:rPr>
        <w:t xml:space="preserve">Centra </w:t>
      </w:r>
      <w:proofErr w:type="spellStart"/>
      <w:r w:rsidRPr="00707EB9">
        <w:rPr>
          <w:rFonts w:ascii="Arial" w:eastAsia="Calibri" w:hAnsi="Arial" w:cs="Calibri"/>
        </w:rPr>
        <w:t>outletowe</w:t>
      </w:r>
      <w:proofErr w:type="spellEnd"/>
      <w:r w:rsidRPr="00707EB9">
        <w:rPr>
          <w:rFonts w:ascii="Arial" w:eastAsia="Calibri" w:hAnsi="Arial" w:cs="Calibri"/>
        </w:rPr>
        <w:t xml:space="preserve"> w segmentach „</w:t>
      </w:r>
      <w:proofErr w:type="spellStart"/>
      <w:r w:rsidRPr="00707EB9">
        <w:rPr>
          <w:rFonts w:ascii="Arial" w:eastAsia="Calibri" w:hAnsi="Arial" w:cs="Calibri"/>
        </w:rPr>
        <w:t>convenience</w:t>
      </w:r>
      <w:proofErr w:type="spellEnd"/>
      <w:r w:rsidRPr="00707EB9">
        <w:rPr>
          <w:rFonts w:ascii="Arial" w:eastAsia="Calibri" w:hAnsi="Arial" w:cs="Calibri"/>
        </w:rPr>
        <w:t>” i „</w:t>
      </w:r>
      <w:proofErr w:type="spellStart"/>
      <w:r w:rsidRPr="00707EB9">
        <w:rPr>
          <w:rFonts w:ascii="Arial" w:eastAsia="Calibri" w:hAnsi="Arial" w:cs="Calibri"/>
        </w:rPr>
        <w:t>destination</w:t>
      </w:r>
      <w:proofErr w:type="spellEnd"/>
      <w:r w:rsidRPr="00707EB9">
        <w:rPr>
          <w:rFonts w:ascii="Arial" w:eastAsia="Calibri" w:hAnsi="Arial" w:cs="Calibri"/>
        </w:rPr>
        <w:t>”</w:t>
      </w:r>
      <w:r w:rsidR="00D4517D" w:rsidRPr="00707EB9">
        <w:rPr>
          <w:rFonts w:ascii="Arial" w:eastAsia="Calibri" w:hAnsi="Arial" w:cs="Calibri"/>
        </w:rPr>
        <w:t xml:space="preserve"> w Europie </w:t>
      </w:r>
      <w:r w:rsidR="009C10C3" w:rsidRPr="00707EB9">
        <w:rPr>
          <w:rFonts w:ascii="Arial" w:eastAsia="Calibri" w:hAnsi="Arial" w:cs="Calibri"/>
        </w:rPr>
        <w:t>Zachodniej</w:t>
      </w:r>
      <w:r w:rsidR="00D57618" w:rsidRPr="00707EB9">
        <w:rPr>
          <w:rFonts w:ascii="Arial" w:eastAsia="Calibri" w:hAnsi="Arial" w:cs="Calibri"/>
        </w:rPr>
        <w:t>.</w:t>
      </w:r>
    </w:p>
    <w:p w14:paraId="2BAFFA7C" w14:textId="77777777" w:rsidR="004C0E31" w:rsidRPr="004C0E31" w:rsidRDefault="004C0E31" w:rsidP="004C0E31">
      <w:pPr>
        <w:spacing w:after="120" w:line="360" w:lineRule="auto"/>
        <w:ind w:left="720"/>
        <w:contextualSpacing/>
        <w:jc w:val="both"/>
        <w:rPr>
          <w:rFonts w:ascii="Arial" w:hAnsi="Arial" w:cs="Arial"/>
        </w:rPr>
      </w:pPr>
    </w:p>
    <w:p w14:paraId="4F4B6670" w14:textId="77777777" w:rsidR="00097DAF" w:rsidRPr="00707EB9" w:rsidRDefault="00097DAF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  <w:b/>
        </w:rPr>
        <w:t>Biura z nami zostaną</w:t>
      </w:r>
    </w:p>
    <w:p w14:paraId="1AA5B40D" w14:textId="639FA603" w:rsidR="00097DAF" w:rsidRPr="00707EB9" w:rsidRDefault="00097DAF" w:rsidP="005277F3">
      <w:pPr>
        <w:spacing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>Choć tylko 16% inwestorów na rynku nieruchomości przewiduje wzrost inwestycji w biurowce zlokalizowane w CBD w 2021 roku, a 43% uważa, że poziom tych inwestycji spadnie,</w:t>
      </w:r>
      <w:r w:rsidRPr="00707EB9">
        <w:rPr>
          <w:rFonts w:ascii="Arial" w:eastAsia="Calibri" w:hAnsi="Arial" w:cs="Calibri"/>
          <w:vertAlign w:val="superscript"/>
        </w:rPr>
        <w:t>1</w:t>
      </w:r>
      <w:r w:rsidRPr="00707EB9">
        <w:rPr>
          <w:rFonts w:ascii="Arial" w:eastAsia="Calibri" w:hAnsi="Arial" w:cs="Calibri"/>
        </w:rPr>
        <w:t xml:space="preserve"> to eksperci </w:t>
      </w:r>
      <w:proofErr w:type="spellStart"/>
      <w:r w:rsidRPr="00707EB9">
        <w:rPr>
          <w:rFonts w:ascii="Arial" w:eastAsia="Calibri" w:hAnsi="Arial" w:cs="Calibri"/>
        </w:rPr>
        <w:lastRenderedPageBreak/>
        <w:t>Savills</w:t>
      </w:r>
      <w:proofErr w:type="spellEnd"/>
      <w:r w:rsidRPr="00707EB9">
        <w:rPr>
          <w:rFonts w:ascii="Arial" w:eastAsia="Calibri" w:hAnsi="Arial" w:cs="Calibri"/>
        </w:rPr>
        <w:t xml:space="preserve"> IM wierzą, że </w:t>
      </w:r>
      <w:r w:rsidR="00810CD2" w:rsidRPr="00707EB9">
        <w:rPr>
          <w:rFonts w:ascii="Arial" w:eastAsia="Calibri" w:hAnsi="Arial" w:cs="Calibri"/>
        </w:rPr>
        <w:t xml:space="preserve">obiekty efektywnie zaprojektowane, </w:t>
      </w:r>
      <w:r w:rsidR="001121C1" w:rsidRPr="00707EB9">
        <w:rPr>
          <w:rFonts w:ascii="Arial" w:eastAsia="Calibri" w:hAnsi="Arial" w:cs="Calibri"/>
        </w:rPr>
        <w:t>dostępne i oferują</w:t>
      </w:r>
      <w:r w:rsidR="00810CD2" w:rsidRPr="00707EB9">
        <w:rPr>
          <w:rFonts w:ascii="Arial" w:eastAsia="Calibri" w:hAnsi="Arial" w:cs="Calibri"/>
        </w:rPr>
        <w:t>ce</w:t>
      </w:r>
      <w:r w:rsidR="001121C1" w:rsidRPr="00707EB9">
        <w:rPr>
          <w:rFonts w:ascii="Arial" w:eastAsia="Calibri" w:hAnsi="Arial" w:cs="Calibri"/>
        </w:rPr>
        <w:t xml:space="preserve"> szeroką gamę</w:t>
      </w:r>
      <w:r w:rsidRPr="00707EB9">
        <w:rPr>
          <w:rFonts w:ascii="Arial" w:eastAsia="Calibri" w:hAnsi="Arial" w:cs="Calibri"/>
        </w:rPr>
        <w:t xml:space="preserve"> </w:t>
      </w:r>
      <w:r w:rsidR="001121C1" w:rsidRPr="00707EB9">
        <w:rPr>
          <w:rFonts w:ascii="Arial" w:eastAsia="Calibri" w:hAnsi="Arial" w:cs="Calibri"/>
        </w:rPr>
        <w:t xml:space="preserve">udogodnień oraz </w:t>
      </w:r>
      <w:r w:rsidRPr="00707EB9">
        <w:rPr>
          <w:rFonts w:ascii="Arial" w:eastAsia="Calibri" w:hAnsi="Arial" w:cs="Calibri"/>
        </w:rPr>
        <w:t>znajdują</w:t>
      </w:r>
      <w:r w:rsidR="00810CD2" w:rsidRPr="00707EB9">
        <w:rPr>
          <w:rFonts w:ascii="Arial" w:eastAsia="Calibri" w:hAnsi="Arial" w:cs="Calibri"/>
        </w:rPr>
        <w:t>ce</w:t>
      </w:r>
      <w:r w:rsidRPr="00707EB9">
        <w:rPr>
          <w:rFonts w:ascii="Arial" w:eastAsia="Calibri" w:hAnsi="Arial" w:cs="Calibri"/>
        </w:rPr>
        <w:t xml:space="preserve"> się w dobrze skomunikowanych lokalizacjach, prawdopodobnie osiągną w perspektywie długoterminowej lepsze wyniki.</w:t>
      </w:r>
      <w:r w:rsidR="001121C1" w:rsidRPr="00707EB9">
        <w:rPr>
          <w:rFonts w:ascii="Arial" w:eastAsia="Calibri" w:hAnsi="Arial" w:cs="Calibri"/>
        </w:rPr>
        <w:t xml:space="preserve"> </w:t>
      </w:r>
      <w:r w:rsidR="0009183A" w:rsidRPr="00707EB9">
        <w:rPr>
          <w:rFonts w:ascii="Arial" w:eastAsia="Calibri" w:hAnsi="Arial" w:cs="Calibri"/>
        </w:rPr>
        <w:t>Praca</w:t>
      </w:r>
      <w:r w:rsidRPr="00707EB9">
        <w:rPr>
          <w:rFonts w:ascii="Arial" w:eastAsia="Calibri" w:hAnsi="Arial" w:cs="Calibri"/>
        </w:rPr>
        <w:t xml:space="preserve"> w biurze ułatwia dzielenie</w:t>
      </w:r>
      <w:r w:rsidR="001121C1" w:rsidRPr="00707EB9">
        <w:rPr>
          <w:rFonts w:ascii="Arial" w:eastAsia="Calibri" w:hAnsi="Arial" w:cs="Calibri"/>
        </w:rPr>
        <w:t xml:space="preserve"> się wiedzą, naukę </w:t>
      </w:r>
      <w:r w:rsidR="00C22BDD">
        <w:rPr>
          <w:rFonts w:ascii="Arial" w:eastAsia="Calibri" w:hAnsi="Arial" w:cs="Calibri"/>
        </w:rPr>
        <w:br/>
      </w:r>
      <w:r w:rsidR="001121C1" w:rsidRPr="00707EB9">
        <w:rPr>
          <w:rFonts w:ascii="Arial" w:eastAsia="Calibri" w:hAnsi="Arial" w:cs="Calibri"/>
        </w:rPr>
        <w:t>i mentoring. Poprawia też</w:t>
      </w:r>
      <w:r w:rsidRPr="00707EB9">
        <w:rPr>
          <w:rFonts w:ascii="Arial" w:eastAsia="Calibri" w:hAnsi="Arial" w:cs="Calibri"/>
        </w:rPr>
        <w:t xml:space="preserve"> kreatywność i wydajność pracy. </w:t>
      </w:r>
      <w:r w:rsidR="00810CD2" w:rsidRPr="00707EB9">
        <w:rPr>
          <w:rFonts w:ascii="Arial" w:eastAsia="Calibri" w:hAnsi="Arial" w:cs="Calibri"/>
        </w:rPr>
        <w:t>Poza tym, biuro jest miejscem interakcji społecznych</w:t>
      </w:r>
      <w:r w:rsidR="001121C1" w:rsidRPr="00707EB9">
        <w:rPr>
          <w:rFonts w:ascii="Arial" w:eastAsia="Calibri" w:hAnsi="Arial" w:cs="Calibri"/>
        </w:rPr>
        <w:t>,</w:t>
      </w:r>
      <w:r w:rsidRPr="00707EB9">
        <w:rPr>
          <w:rFonts w:ascii="Arial" w:eastAsia="Calibri" w:hAnsi="Arial" w:cs="Calibri"/>
        </w:rPr>
        <w:t xml:space="preserve"> </w:t>
      </w:r>
      <w:r w:rsidR="00810CD2" w:rsidRPr="00707EB9">
        <w:rPr>
          <w:rFonts w:ascii="Arial" w:eastAsia="Calibri" w:hAnsi="Arial" w:cs="Calibri"/>
        </w:rPr>
        <w:t>wspierających</w:t>
      </w:r>
      <w:r w:rsidR="00DA1ABE" w:rsidRPr="00707EB9">
        <w:rPr>
          <w:rFonts w:ascii="Arial" w:eastAsia="Calibri" w:hAnsi="Arial" w:cs="Calibri"/>
        </w:rPr>
        <w:t xml:space="preserve"> </w:t>
      </w:r>
      <w:r w:rsidRPr="00707EB9">
        <w:rPr>
          <w:rFonts w:ascii="Arial" w:eastAsia="Calibri" w:hAnsi="Arial" w:cs="Calibri"/>
        </w:rPr>
        <w:t xml:space="preserve">kulturę </w:t>
      </w:r>
      <w:r w:rsidR="00D4517D" w:rsidRPr="00707EB9">
        <w:rPr>
          <w:rFonts w:ascii="Arial" w:eastAsia="Calibri" w:hAnsi="Arial" w:cs="Calibri"/>
        </w:rPr>
        <w:t>korporacyjną opartą</w:t>
      </w:r>
      <w:r w:rsidR="00DA1ABE" w:rsidRPr="00707EB9">
        <w:rPr>
          <w:rFonts w:ascii="Arial" w:eastAsia="Calibri" w:hAnsi="Arial" w:cs="Calibri"/>
        </w:rPr>
        <w:t xml:space="preserve"> na </w:t>
      </w:r>
      <w:r w:rsidRPr="00707EB9">
        <w:rPr>
          <w:rFonts w:ascii="Arial" w:eastAsia="Calibri" w:hAnsi="Arial" w:cs="Calibri"/>
        </w:rPr>
        <w:t>współpracy i produktywności</w:t>
      </w:r>
      <w:r w:rsidR="00DA1ABE" w:rsidRPr="00707EB9">
        <w:rPr>
          <w:rFonts w:ascii="Arial" w:eastAsia="Calibri" w:hAnsi="Arial" w:cs="Calibri"/>
        </w:rPr>
        <w:t>.</w:t>
      </w:r>
    </w:p>
    <w:p w14:paraId="61F916A2" w14:textId="0AE472F4" w:rsidR="00097DAF" w:rsidRPr="00707EB9" w:rsidRDefault="001121C1" w:rsidP="005277F3">
      <w:pPr>
        <w:spacing w:after="120" w:line="360" w:lineRule="auto"/>
        <w:contextualSpacing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 xml:space="preserve">Kluczowe </w:t>
      </w:r>
      <w:r w:rsidR="0009102A" w:rsidRPr="00707EB9">
        <w:rPr>
          <w:rFonts w:ascii="Arial" w:eastAsia="Calibri" w:hAnsi="Arial" w:cs="Calibri"/>
        </w:rPr>
        <w:t xml:space="preserve">rekomendacje </w:t>
      </w:r>
      <w:r w:rsidRPr="00707EB9">
        <w:rPr>
          <w:rFonts w:ascii="Arial" w:eastAsia="Calibri" w:hAnsi="Arial" w:cs="Calibri"/>
        </w:rPr>
        <w:t>inwestycyjne</w:t>
      </w:r>
      <w:r w:rsidR="00097DAF" w:rsidRPr="00707EB9">
        <w:rPr>
          <w:rFonts w:ascii="Arial" w:eastAsia="Calibri" w:hAnsi="Arial" w:cs="Calibri"/>
        </w:rPr>
        <w:t>:</w:t>
      </w:r>
    </w:p>
    <w:p w14:paraId="2BE642BC" w14:textId="0C80BFC2" w:rsidR="00097DAF" w:rsidRPr="00707EB9" w:rsidRDefault="001121C1" w:rsidP="005277F3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>Najwyżej jakości b</w:t>
      </w:r>
      <w:r w:rsidR="00097DAF" w:rsidRPr="00707EB9">
        <w:rPr>
          <w:rFonts w:ascii="Arial" w:eastAsia="Calibri" w:hAnsi="Arial" w:cs="Calibri"/>
        </w:rPr>
        <w:t>iurowce ty</w:t>
      </w:r>
      <w:r w:rsidRPr="00707EB9">
        <w:rPr>
          <w:rFonts w:ascii="Arial" w:eastAsia="Calibri" w:hAnsi="Arial" w:cs="Calibri"/>
        </w:rPr>
        <w:t xml:space="preserve">pu </w:t>
      </w:r>
      <w:proofErr w:type="spellStart"/>
      <w:r w:rsidRPr="00707EB9">
        <w:rPr>
          <w:rFonts w:ascii="Arial" w:eastAsia="Calibri" w:hAnsi="Arial" w:cs="Calibri"/>
        </w:rPr>
        <w:t>multi-let</w:t>
      </w:r>
      <w:proofErr w:type="spellEnd"/>
      <w:r w:rsidRPr="00707EB9">
        <w:rPr>
          <w:rFonts w:ascii="Arial" w:eastAsia="Calibri" w:hAnsi="Arial" w:cs="Calibri"/>
        </w:rPr>
        <w:t xml:space="preserve"> </w:t>
      </w:r>
      <w:r w:rsidR="00097DAF" w:rsidRPr="00707EB9">
        <w:rPr>
          <w:rFonts w:ascii="Arial" w:eastAsia="Calibri" w:hAnsi="Arial" w:cs="Calibri"/>
        </w:rPr>
        <w:t>(</w:t>
      </w:r>
      <w:r w:rsidR="00335157" w:rsidRPr="00707EB9">
        <w:rPr>
          <w:rFonts w:ascii="Arial" w:eastAsia="Calibri" w:hAnsi="Arial" w:cs="Calibri"/>
        </w:rPr>
        <w:t xml:space="preserve">o profilu ryzyka </w:t>
      </w:r>
      <w:proofErr w:type="spellStart"/>
      <w:r w:rsidR="00097DAF" w:rsidRPr="00707EB9">
        <w:rPr>
          <w:rFonts w:ascii="Arial" w:eastAsia="Calibri" w:hAnsi="Arial" w:cs="Calibri"/>
        </w:rPr>
        <w:t>core</w:t>
      </w:r>
      <w:proofErr w:type="spellEnd"/>
      <w:r w:rsidR="00097DAF" w:rsidRPr="00707EB9">
        <w:rPr>
          <w:rFonts w:ascii="Arial" w:eastAsia="Calibri" w:hAnsi="Arial" w:cs="Calibri"/>
        </w:rPr>
        <w:t xml:space="preserve"> </w:t>
      </w:r>
      <w:r w:rsidR="00335157" w:rsidRPr="00707EB9">
        <w:rPr>
          <w:rFonts w:ascii="Arial" w:eastAsia="Calibri" w:hAnsi="Arial" w:cs="Calibri"/>
        </w:rPr>
        <w:t xml:space="preserve">i </w:t>
      </w:r>
      <w:proofErr w:type="spellStart"/>
      <w:r w:rsidR="00097DAF" w:rsidRPr="00707EB9">
        <w:rPr>
          <w:rFonts w:ascii="Arial" w:eastAsia="Calibri" w:hAnsi="Arial" w:cs="Calibri"/>
        </w:rPr>
        <w:t>core</w:t>
      </w:r>
      <w:proofErr w:type="spellEnd"/>
      <w:r w:rsidR="00097DAF" w:rsidRPr="00707EB9">
        <w:rPr>
          <w:rFonts w:ascii="Arial" w:eastAsia="Calibri" w:hAnsi="Arial" w:cs="Calibri"/>
        </w:rPr>
        <w:t>-plus) w pobliżu węzłów komunikacyjnych w</w:t>
      </w:r>
      <w:r w:rsidR="00D57618" w:rsidRPr="00707EB9">
        <w:rPr>
          <w:rFonts w:ascii="Arial" w:eastAsia="Calibri" w:hAnsi="Arial" w:cs="Calibri"/>
        </w:rPr>
        <w:t xml:space="preserve"> </w:t>
      </w:r>
      <w:r w:rsidR="00DA1ABE" w:rsidRPr="00707EB9">
        <w:rPr>
          <w:rFonts w:ascii="Arial" w:eastAsia="Calibri" w:hAnsi="Arial" w:cs="Calibri"/>
        </w:rPr>
        <w:t xml:space="preserve">centralnych obszarach biznesu </w:t>
      </w:r>
      <w:r w:rsidR="00097DAF" w:rsidRPr="00707EB9">
        <w:rPr>
          <w:rFonts w:ascii="Arial" w:eastAsia="Calibri" w:hAnsi="Arial" w:cs="Calibri"/>
        </w:rPr>
        <w:t>oraz w dobrze rozwiniętych lokalizacjach na obrzeżach</w:t>
      </w:r>
      <w:r w:rsidR="00DD63F6" w:rsidRPr="00707EB9">
        <w:rPr>
          <w:rFonts w:ascii="Arial" w:eastAsia="Calibri" w:hAnsi="Arial" w:cs="Calibri"/>
        </w:rPr>
        <w:t xml:space="preserve"> miast w całej Europie</w:t>
      </w:r>
      <w:r w:rsidR="00097DAF" w:rsidRPr="00707EB9">
        <w:rPr>
          <w:rFonts w:ascii="Arial" w:eastAsia="Calibri" w:hAnsi="Arial" w:cs="Calibri"/>
        </w:rPr>
        <w:t>.</w:t>
      </w:r>
    </w:p>
    <w:p w14:paraId="3B9ADFC4" w14:textId="7EB0A710" w:rsidR="00097DAF" w:rsidRPr="00707EB9" w:rsidRDefault="00097DAF" w:rsidP="005277F3">
      <w:pPr>
        <w:numPr>
          <w:ilvl w:val="0"/>
          <w:numId w:val="22"/>
        </w:numPr>
        <w:spacing w:after="120" w:line="360" w:lineRule="auto"/>
        <w:contextualSpacing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 xml:space="preserve">Nieruchomości biurowe typu </w:t>
      </w:r>
      <w:proofErr w:type="spellStart"/>
      <w:r w:rsidRPr="00707EB9">
        <w:rPr>
          <w:rFonts w:ascii="Arial" w:eastAsia="Calibri" w:hAnsi="Arial" w:cs="Calibri"/>
        </w:rPr>
        <w:t>core</w:t>
      </w:r>
      <w:proofErr w:type="spellEnd"/>
      <w:r w:rsidRPr="00707EB9">
        <w:rPr>
          <w:rFonts w:ascii="Arial" w:eastAsia="Calibri" w:hAnsi="Arial" w:cs="Calibri"/>
        </w:rPr>
        <w:t xml:space="preserve"> z możliwością długoterminowego generowania przychodu </w:t>
      </w:r>
      <w:r w:rsidR="00C22BDD">
        <w:rPr>
          <w:rFonts w:ascii="Arial" w:eastAsia="Calibri" w:hAnsi="Arial" w:cs="Calibri"/>
        </w:rPr>
        <w:br/>
      </w:r>
      <w:r w:rsidRPr="00707EB9">
        <w:rPr>
          <w:rFonts w:ascii="Arial" w:eastAsia="Calibri" w:hAnsi="Arial" w:cs="Calibri"/>
        </w:rPr>
        <w:t>w miastach regionalnych, głównie w Niemczech,</w:t>
      </w:r>
      <w:r w:rsidR="00DD63F6" w:rsidRPr="00707EB9">
        <w:rPr>
          <w:rFonts w:ascii="Arial" w:eastAsia="Calibri" w:hAnsi="Arial" w:cs="Calibri"/>
        </w:rPr>
        <w:t xml:space="preserve"> Francji,</w:t>
      </w:r>
      <w:r w:rsidRPr="00707EB9">
        <w:rPr>
          <w:rFonts w:ascii="Arial" w:eastAsia="Calibri" w:hAnsi="Arial" w:cs="Calibri"/>
        </w:rPr>
        <w:t xml:space="preserve"> Holandii i Polsce</w:t>
      </w:r>
      <w:r w:rsidR="001121C1" w:rsidRPr="00707EB9">
        <w:rPr>
          <w:rFonts w:ascii="Arial" w:eastAsia="Calibri" w:hAnsi="Arial" w:cs="Calibri"/>
        </w:rPr>
        <w:t>.</w:t>
      </w:r>
    </w:p>
    <w:p w14:paraId="29CB42A0" w14:textId="77777777" w:rsidR="00097DAF" w:rsidRPr="00707EB9" w:rsidRDefault="00097DAF" w:rsidP="005277F3">
      <w:pPr>
        <w:spacing w:after="120" w:line="360" w:lineRule="auto"/>
        <w:jc w:val="both"/>
        <w:rPr>
          <w:rFonts w:ascii="Arial" w:eastAsia="Calibri" w:hAnsi="Arial" w:cs="Calibri"/>
        </w:rPr>
      </w:pPr>
    </w:p>
    <w:p w14:paraId="72B56C67" w14:textId="75EDF3EB" w:rsidR="001121C1" w:rsidRPr="00707EB9" w:rsidRDefault="001121C1" w:rsidP="005277F3">
      <w:pPr>
        <w:spacing w:after="12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707EB9">
        <w:rPr>
          <w:rFonts w:ascii="Arial" w:eastAsia="Calibri" w:hAnsi="Arial" w:cs="Calibri"/>
          <w:b/>
        </w:rPr>
        <w:t>Rośnie znaczenie inwestycji alternatywnych z sektora „</w:t>
      </w:r>
      <w:proofErr w:type="spellStart"/>
      <w:r w:rsidRPr="00707EB9">
        <w:rPr>
          <w:rFonts w:ascii="Arial" w:eastAsia="Calibri" w:hAnsi="Arial" w:cs="Calibri"/>
          <w:b/>
        </w:rPr>
        <w:t>living</w:t>
      </w:r>
      <w:proofErr w:type="spellEnd"/>
      <w:r w:rsidRPr="00707EB9">
        <w:rPr>
          <w:rFonts w:ascii="Arial" w:eastAsia="Calibri" w:hAnsi="Arial" w:cs="Calibri"/>
          <w:b/>
        </w:rPr>
        <w:t>”</w:t>
      </w:r>
    </w:p>
    <w:p w14:paraId="350CA6E7" w14:textId="20E4521B" w:rsidR="001121C1" w:rsidRPr="00707EB9" w:rsidRDefault="00D75A28" w:rsidP="005277F3">
      <w:pPr>
        <w:spacing w:before="100" w:beforeAutospacing="1" w:after="120" w:line="360" w:lineRule="auto"/>
        <w:jc w:val="both"/>
        <w:rPr>
          <w:rFonts w:ascii="Arial" w:eastAsia="Calibri" w:hAnsi="Arial" w:cs="Calibri"/>
        </w:rPr>
      </w:pPr>
      <w:r w:rsidRPr="00707EB9">
        <w:rPr>
          <w:rFonts w:ascii="Arial" w:eastAsia="Calibri" w:hAnsi="Arial" w:cs="Calibri"/>
        </w:rPr>
        <w:t>Sektory a</w:t>
      </w:r>
      <w:r w:rsidR="001121C1" w:rsidRPr="00707EB9">
        <w:rPr>
          <w:rFonts w:ascii="Arial" w:eastAsia="Calibri" w:hAnsi="Arial" w:cs="Calibri"/>
        </w:rPr>
        <w:t xml:space="preserve">lternatywne, takie jak </w:t>
      </w:r>
      <w:r w:rsidR="00A07025" w:rsidRPr="00707EB9">
        <w:rPr>
          <w:rFonts w:ascii="Arial" w:eastAsia="Calibri" w:hAnsi="Arial" w:cs="Calibri"/>
        </w:rPr>
        <w:t xml:space="preserve">domy </w:t>
      </w:r>
      <w:r w:rsidR="001121C1" w:rsidRPr="00707EB9">
        <w:rPr>
          <w:rFonts w:ascii="Arial" w:eastAsia="Calibri" w:hAnsi="Arial" w:cs="Calibri"/>
        </w:rPr>
        <w:t>senioralne czy akademiki i domy studenckie stanowią</w:t>
      </w:r>
      <w:r w:rsidR="00581FD1" w:rsidRPr="00707EB9">
        <w:rPr>
          <w:rFonts w:ascii="Arial" w:eastAsia="Calibri" w:hAnsi="Arial" w:cs="Calibri"/>
        </w:rPr>
        <w:t xml:space="preserve"> dobry zakup dla coraz większego grona inwestorów. </w:t>
      </w:r>
      <w:r w:rsidRPr="00707EB9">
        <w:rPr>
          <w:rFonts w:ascii="Arial" w:eastAsia="Calibri" w:hAnsi="Arial" w:cs="Calibri"/>
        </w:rPr>
        <w:t>Kluczowe czynniki kreujące popyt na takie produkty, związane ze</w:t>
      </w:r>
      <w:r w:rsidR="001121C1" w:rsidRPr="00707EB9">
        <w:rPr>
          <w:rFonts w:ascii="Arial" w:eastAsia="Calibri" w:hAnsi="Arial" w:cs="Calibri"/>
        </w:rPr>
        <w:t xml:space="preserve"> starzenie</w:t>
      </w:r>
      <w:r w:rsidRPr="00707EB9">
        <w:rPr>
          <w:rFonts w:ascii="Arial" w:eastAsia="Calibri" w:hAnsi="Arial" w:cs="Calibri"/>
        </w:rPr>
        <w:t>m</w:t>
      </w:r>
      <w:r w:rsidR="001121C1" w:rsidRPr="00707EB9">
        <w:rPr>
          <w:rFonts w:ascii="Arial" w:eastAsia="Calibri" w:hAnsi="Arial" w:cs="Calibri"/>
        </w:rPr>
        <w:t xml:space="preserve"> się </w:t>
      </w:r>
      <w:r w:rsidRPr="00707EB9">
        <w:rPr>
          <w:rFonts w:ascii="Arial" w:eastAsia="Calibri" w:hAnsi="Arial" w:cs="Calibri"/>
        </w:rPr>
        <w:t xml:space="preserve">populacji </w:t>
      </w:r>
      <w:r w:rsidR="001121C1" w:rsidRPr="00707EB9">
        <w:rPr>
          <w:rFonts w:ascii="Arial" w:eastAsia="Calibri" w:hAnsi="Arial" w:cs="Calibri"/>
        </w:rPr>
        <w:t xml:space="preserve">z jednej strony i </w:t>
      </w:r>
      <w:r w:rsidRPr="00707EB9">
        <w:rPr>
          <w:rFonts w:ascii="Arial" w:eastAsia="Calibri" w:hAnsi="Arial" w:cs="Calibri"/>
        </w:rPr>
        <w:t xml:space="preserve">zmianami w sektorze </w:t>
      </w:r>
      <w:r w:rsidR="001121C1" w:rsidRPr="00707EB9">
        <w:rPr>
          <w:rFonts w:ascii="Arial" w:eastAsia="Calibri" w:hAnsi="Arial" w:cs="Calibri"/>
        </w:rPr>
        <w:t>szkolnictwa wyższego z drugiej, nie uległy zmianie.</w:t>
      </w:r>
    </w:p>
    <w:p w14:paraId="416BAC95" w14:textId="791AACFD" w:rsidR="001121C1" w:rsidRPr="00707EB9" w:rsidRDefault="001121C1" w:rsidP="005277F3">
      <w:pPr>
        <w:spacing w:after="120" w:line="360" w:lineRule="auto"/>
        <w:jc w:val="both"/>
        <w:rPr>
          <w:rFonts w:ascii="Arial" w:eastAsia="Calibri" w:hAnsi="Arial" w:cs="Arial"/>
        </w:rPr>
      </w:pPr>
      <w:r w:rsidRPr="00707EB9">
        <w:rPr>
          <w:rFonts w:ascii="Arial" w:eastAsia="Calibri" w:hAnsi="Arial" w:cs="Calibri"/>
        </w:rPr>
        <w:t xml:space="preserve">Kluczowe </w:t>
      </w:r>
      <w:r w:rsidR="0089599D" w:rsidRPr="00707EB9">
        <w:rPr>
          <w:rFonts w:ascii="Arial" w:eastAsia="Calibri" w:hAnsi="Arial" w:cs="Calibri"/>
        </w:rPr>
        <w:t xml:space="preserve">rekomendacje </w:t>
      </w:r>
      <w:r w:rsidRPr="00707EB9">
        <w:rPr>
          <w:rFonts w:ascii="Arial" w:eastAsia="Calibri" w:hAnsi="Arial" w:cs="Calibri"/>
        </w:rPr>
        <w:t>inwestycyjne:</w:t>
      </w:r>
    </w:p>
    <w:p w14:paraId="7266F6A2" w14:textId="0A99604F" w:rsidR="000F5C2F" w:rsidRDefault="001121C1" w:rsidP="00E93084">
      <w:pPr>
        <w:numPr>
          <w:ilvl w:val="0"/>
          <w:numId w:val="22"/>
        </w:numPr>
        <w:spacing w:after="240" w:line="360" w:lineRule="auto"/>
        <w:jc w:val="both"/>
        <w:rPr>
          <w:rFonts w:ascii="Arial" w:hAnsi="Arial" w:cs="Arial"/>
        </w:rPr>
      </w:pPr>
      <w:r w:rsidRPr="00707EB9">
        <w:rPr>
          <w:rFonts w:ascii="Arial" w:eastAsia="Calibri" w:hAnsi="Arial" w:cs="Calibri"/>
        </w:rPr>
        <w:t xml:space="preserve">Budynki mieszkalne, w szczególności budynki wielorodzinne </w:t>
      </w:r>
      <w:r w:rsidR="002D3CB9" w:rsidRPr="00707EB9">
        <w:rPr>
          <w:rFonts w:ascii="Arial" w:eastAsia="Calibri" w:hAnsi="Arial" w:cs="Calibri"/>
        </w:rPr>
        <w:t xml:space="preserve">z mieszkaniami </w:t>
      </w:r>
      <w:r w:rsidR="002D3CB9" w:rsidRPr="00707EB9">
        <w:rPr>
          <w:rFonts w:ascii="Arial" w:eastAsia="Calibri" w:hAnsi="Arial" w:cs="Calibri"/>
        </w:rPr>
        <w:br/>
        <w:t xml:space="preserve">na </w:t>
      </w:r>
      <w:r w:rsidRPr="00707EB9">
        <w:rPr>
          <w:rFonts w:ascii="Arial" w:eastAsia="Calibri" w:hAnsi="Arial" w:cs="Calibri"/>
        </w:rPr>
        <w:t>wynaj</w:t>
      </w:r>
      <w:r w:rsidR="002D3CB9" w:rsidRPr="00707EB9">
        <w:rPr>
          <w:rFonts w:ascii="Arial" w:eastAsia="Calibri" w:hAnsi="Arial" w:cs="Calibri"/>
        </w:rPr>
        <w:t>em oraz akademiki i domy studenckie,</w:t>
      </w:r>
      <w:r w:rsidRPr="00707EB9">
        <w:rPr>
          <w:rFonts w:ascii="Arial" w:eastAsia="Calibri" w:hAnsi="Arial" w:cs="Calibri"/>
        </w:rPr>
        <w:t xml:space="preserve"> zwłaszcza w</w:t>
      </w:r>
      <w:r w:rsidR="002D3CB9" w:rsidRPr="00707EB9">
        <w:rPr>
          <w:rFonts w:ascii="Arial" w:eastAsia="Calibri" w:hAnsi="Arial" w:cs="Calibri"/>
        </w:rPr>
        <w:t xml:space="preserve"> Wielkiej Brytanii. P</w:t>
      </w:r>
      <w:r w:rsidRPr="00707EB9">
        <w:rPr>
          <w:rFonts w:ascii="Arial" w:eastAsia="Calibri" w:hAnsi="Arial" w:cs="Calibri"/>
        </w:rPr>
        <w:t>lacówki opieki zdrowotnej i opieki nad osobami starszymi (np. we Włoszech), zapewniające długoterminowy, stabilny przychód</w:t>
      </w:r>
      <w:r w:rsidR="00620C65" w:rsidRPr="00707EB9">
        <w:rPr>
          <w:rFonts w:ascii="Arial" w:eastAsia="Calibri" w:hAnsi="Arial" w:cs="Calibri"/>
        </w:rPr>
        <w:t>.</w:t>
      </w:r>
    </w:p>
    <w:p w14:paraId="6E3590DE" w14:textId="22AC63F4" w:rsidR="002D3CB9" w:rsidRDefault="002D3CB9" w:rsidP="00E93084">
      <w:pPr>
        <w:spacing w:after="240" w:line="360" w:lineRule="auto"/>
        <w:jc w:val="both"/>
        <w:rPr>
          <w:rFonts w:ascii="Arial" w:hAnsi="Arial" w:cs="Arial"/>
          <w:lang w:eastAsia="en-US"/>
        </w:rPr>
      </w:pPr>
      <w:r w:rsidRPr="00707EB9">
        <w:rPr>
          <w:rFonts w:ascii="Arial" w:hAnsi="Arial" w:cs="Arial"/>
          <w:lang w:eastAsia="en-US"/>
        </w:rPr>
        <w:t xml:space="preserve">Pełna wersja raportu </w:t>
      </w:r>
      <w:proofErr w:type="spellStart"/>
      <w:r w:rsidRPr="00707EB9">
        <w:rPr>
          <w:rFonts w:ascii="Arial" w:hAnsi="Arial" w:cs="Arial"/>
          <w:lang w:eastAsia="en-US"/>
        </w:rPr>
        <w:t>Savills</w:t>
      </w:r>
      <w:proofErr w:type="spellEnd"/>
      <w:r w:rsidRPr="00707EB9">
        <w:rPr>
          <w:rFonts w:ascii="Arial" w:hAnsi="Arial" w:cs="Arial"/>
          <w:lang w:eastAsia="en-US"/>
        </w:rPr>
        <w:t xml:space="preserve"> IM Outlook 2021 dostępna j</w:t>
      </w:r>
      <w:r w:rsidR="00264B96">
        <w:rPr>
          <w:rFonts w:ascii="Arial" w:hAnsi="Arial" w:cs="Arial"/>
          <w:lang w:eastAsia="en-US"/>
        </w:rPr>
        <w:t xml:space="preserve">est do pobrania pod linkiem: </w:t>
      </w:r>
      <w:hyperlink r:id="rId11" w:history="1">
        <w:r w:rsidR="00264B96" w:rsidRPr="00830953">
          <w:rPr>
            <w:rStyle w:val="Hipercze"/>
            <w:rFonts w:ascii="Arial" w:hAnsi="Arial" w:cs="Arial"/>
            <w:lang w:eastAsia="en-US"/>
          </w:rPr>
          <w:t>https://www.savillsim.com/research/outlook-2021.aspx</w:t>
        </w:r>
      </w:hyperlink>
      <w:r w:rsidR="00264B96">
        <w:rPr>
          <w:rFonts w:ascii="Arial" w:hAnsi="Arial" w:cs="Arial"/>
          <w:lang w:eastAsia="en-US"/>
        </w:rPr>
        <w:t xml:space="preserve"> </w:t>
      </w:r>
    </w:p>
    <w:p w14:paraId="01D32CA2" w14:textId="77777777" w:rsidR="005277F3" w:rsidRPr="00707EB9" w:rsidRDefault="005277F3" w:rsidP="005277F3">
      <w:pPr>
        <w:spacing w:after="120" w:line="360" w:lineRule="auto"/>
        <w:jc w:val="both"/>
        <w:rPr>
          <w:rFonts w:ascii="Arial" w:hAnsi="Arial" w:cs="Arial"/>
          <w:highlight w:val="yellow"/>
          <w:lang w:eastAsia="en-US"/>
        </w:rPr>
      </w:pPr>
    </w:p>
    <w:p w14:paraId="33E0F0E1" w14:textId="00DB42D1" w:rsidR="006835FC" w:rsidRPr="00336372" w:rsidRDefault="002D3CB9" w:rsidP="00545B03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color w:val="333333"/>
          <w:sz w:val="18"/>
        </w:rPr>
        <w:t xml:space="preserve">Źródło: </w:t>
      </w:r>
      <w:r>
        <w:rPr>
          <w:rFonts w:ascii="Arial" w:hAnsi="Arial"/>
          <w:sz w:val="18"/>
        </w:rPr>
        <w:t xml:space="preserve">Badanie przeprowadzone w imieniu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przez </w:t>
      </w:r>
      <w:proofErr w:type="spellStart"/>
      <w:r>
        <w:rPr>
          <w:rFonts w:ascii="Arial" w:hAnsi="Arial"/>
          <w:sz w:val="18"/>
        </w:rPr>
        <w:t>PollRight</w:t>
      </w:r>
      <w:proofErr w:type="spellEnd"/>
      <w:r>
        <w:rPr>
          <w:rFonts w:ascii="Arial" w:hAnsi="Arial"/>
          <w:sz w:val="18"/>
        </w:rPr>
        <w:t xml:space="preserve"> wśród 122 inwestorów instytucjonalnych w październiku 2020 r. Inwestorzy pochodzą z globalnej bazy danych obejmującej Amerykę Północną, Wielką Brytanię i kontynentalną Europę, przy średniej wartości zarządzanych aktywów inwestycyjnych na rynkach nieruchomości wynoszącej 18,9 miliardów funtów (25 miliardów dolarów).</w:t>
      </w:r>
    </w:p>
    <w:p w14:paraId="220900A8" w14:textId="77777777" w:rsidR="00657B98" w:rsidRPr="00D32CFD" w:rsidRDefault="00657B98" w:rsidP="00545B03">
      <w:pPr>
        <w:rPr>
          <w:rFonts w:ascii="Arial" w:hAnsi="Arial" w:cs="Arial"/>
          <w:b/>
          <w:bCs/>
          <w:sz w:val="18"/>
          <w:szCs w:val="18"/>
        </w:rPr>
      </w:pPr>
      <w:r w:rsidRPr="00D32CFD">
        <w:rPr>
          <w:rFonts w:ascii="Arial" w:hAnsi="Arial"/>
          <w:b/>
          <w:bCs/>
          <w:sz w:val="18"/>
          <w:szCs w:val="18"/>
        </w:rPr>
        <w:t xml:space="preserve">O </w:t>
      </w:r>
      <w:proofErr w:type="spellStart"/>
      <w:r w:rsidRPr="00D32CFD">
        <w:rPr>
          <w:rFonts w:ascii="Arial" w:hAnsi="Arial"/>
          <w:b/>
          <w:bCs/>
          <w:sz w:val="18"/>
          <w:szCs w:val="18"/>
        </w:rPr>
        <w:t>Savills</w:t>
      </w:r>
      <w:proofErr w:type="spellEnd"/>
      <w:r w:rsidRPr="00D32CFD">
        <w:rPr>
          <w:rFonts w:ascii="Arial" w:hAnsi="Arial"/>
          <w:b/>
          <w:bCs/>
          <w:sz w:val="18"/>
          <w:szCs w:val="18"/>
        </w:rPr>
        <w:t xml:space="preserve"> Investment Management:</w:t>
      </w:r>
      <w:r w:rsidRPr="00D32CFD">
        <w:rPr>
          <w:rFonts w:ascii="Arial" w:hAnsi="Arial"/>
          <w:b/>
          <w:bCs/>
          <w:sz w:val="18"/>
          <w:szCs w:val="18"/>
        </w:rPr>
        <w:br/>
      </w:r>
    </w:p>
    <w:p w14:paraId="4E6B0393" w14:textId="77777777" w:rsidR="00657B98" w:rsidRPr="004F644E" w:rsidRDefault="00657B98" w:rsidP="00545B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międzynarodowym menedżerem inwestycyjnym w sektorze nieruchomości, posiadającym biura w Amsterdamie, Kopenhadze, Frankfurcie, Hamburgu, Jersey, Katowicach, Londynie, Luksemburgu, Madrycie, Mediolanie, Monachium, Paryżu, Sztokholmie, Warszawie, Singapurze, Tokio i Sydney.</w:t>
      </w:r>
    </w:p>
    <w:p w14:paraId="7A74F05F" w14:textId="6DD817B4" w:rsidR="00657B98" w:rsidRPr="004F644E" w:rsidRDefault="00657B98" w:rsidP="00545B03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/>
          <w:sz w:val="18"/>
        </w:rPr>
        <w:t xml:space="preserve">W skali globalnej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nieruch</w:t>
      </w:r>
      <w:r w:rsidR="00755371">
        <w:rPr>
          <w:rFonts w:ascii="Arial" w:hAnsi="Arial"/>
          <w:sz w:val="18"/>
        </w:rPr>
        <w:t>omościami o wartości około 20,5</w:t>
      </w:r>
      <w:r>
        <w:rPr>
          <w:rFonts w:ascii="Arial" w:hAnsi="Arial"/>
          <w:sz w:val="18"/>
        </w:rPr>
        <w:t xml:space="preserve"> </w:t>
      </w:r>
      <w:r w:rsidR="0083334D">
        <w:rPr>
          <w:rFonts w:ascii="Arial" w:hAnsi="Arial"/>
          <w:sz w:val="18"/>
        </w:rPr>
        <w:t>mld EUR (stan na koniec Q2</w:t>
      </w:r>
      <w:r w:rsidR="00755371">
        <w:rPr>
          <w:rFonts w:ascii="Arial" w:hAnsi="Arial"/>
          <w:sz w:val="18"/>
        </w:rPr>
        <w:t xml:space="preserve"> 2020</w:t>
      </w:r>
      <w:r>
        <w:rPr>
          <w:rFonts w:ascii="Arial" w:hAnsi="Arial"/>
          <w:sz w:val="18"/>
        </w:rPr>
        <w:t xml:space="preserve"> roku).</w:t>
      </w:r>
    </w:p>
    <w:p w14:paraId="733661C6" w14:textId="548DE10C" w:rsidR="00657B98" w:rsidRPr="0001134E" w:rsidRDefault="00657B98" w:rsidP="00545B03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lastRenderedPageBreak/>
        <w:t>Savills</w:t>
      </w:r>
      <w:proofErr w:type="spellEnd"/>
      <w:r>
        <w:rPr>
          <w:rFonts w:ascii="Arial" w:hAnsi="Arial"/>
          <w:sz w:val="18"/>
        </w:rPr>
        <w:t xml:space="preserve"> Investment Management oferuje kompleksowe usługi z zakresu zarządzania nieruchomościami </w:t>
      </w:r>
      <w:r>
        <w:rPr>
          <w:rFonts w:ascii="Arial" w:hAnsi="Arial"/>
          <w:sz w:val="18"/>
        </w:rPr>
        <w:br/>
        <w:t xml:space="preserve">i funduszami w formie mandatów inwestycyjnych oraz produktów funduszowych dla szerokiego spektrum inwestorów, w tym firm ubezpieczeniowych, funduszy emerytalnych, fundacji i </w:t>
      </w:r>
      <w:r w:rsidRPr="00724DBA">
        <w:rPr>
          <w:rFonts w:ascii="Arial" w:hAnsi="Arial"/>
          <w:i/>
          <w:sz w:val="18"/>
        </w:rPr>
        <w:t xml:space="preserve">family </w:t>
      </w:r>
      <w:proofErr w:type="spellStart"/>
      <w:r w:rsidRPr="00724DBA">
        <w:rPr>
          <w:rFonts w:ascii="Arial" w:hAnsi="Arial"/>
          <w:i/>
          <w:sz w:val="18"/>
        </w:rPr>
        <w:t>office</w:t>
      </w:r>
      <w:r>
        <w:rPr>
          <w:rFonts w:ascii="Arial" w:hAnsi="Arial"/>
          <w:i/>
          <w:sz w:val="18"/>
        </w:rPr>
        <w:t>s</w:t>
      </w:r>
      <w:proofErr w:type="spellEnd"/>
      <w:r>
        <w:rPr>
          <w:rFonts w:ascii="Arial" w:hAnsi="Arial"/>
          <w:sz w:val="18"/>
        </w:rPr>
        <w:t>. Strategie inwestycyjne obejmują przekrój od strategii</w:t>
      </w:r>
      <w:r w:rsidRPr="0001134E">
        <w:rPr>
          <w:rFonts w:ascii="Arial" w:hAnsi="Arial"/>
          <w:sz w:val="18"/>
        </w:rPr>
        <w:t xml:space="preserve"> typu </w:t>
      </w:r>
      <w:proofErr w:type="spellStart"/>
      <w:r w:rsidRPr="0001134E">
        <w:rPr>
          <w:rFonts w:ascii="Arial" w:hAnsi="Arial"/>
          <w:sz w:val="18"/>
        </w:rPr>
        <w:t>core</w:t>
      </w:r>
      <w:proofErr w:type="spellEnd"/>
      <w:r w:rsidRPr="0001134E">
        <w:rPr>
          <w:rFonts w:ascii="Arial" w:hAnsi="Arial"/>
          <w:sz w:val="18"/>
        </w:rPr>
        <w:t xml:space="preserve"> po strategię oportunistyczną.</w:t>
      </w:r>
    </w:p>
    <w:p w14:paraId="0851CD1D" w14:textId="77777777" w:rsidR="00657B98" w:rsidRPr="004B5E87" w:rsidRDefault="00657B98" w:rsidP="00545B03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częścią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Group</w:t>
      </w:r>
      <w:proofErr w:type="spellEnd"/>
      <w:r>
        <w:rPr>
          <w:rFonts w:ascii="Arial" w:hAnsi="Arial"/>
          <w:sz w:val="18"/>
        </w:rPr>
        <w:t xml:space="preserve">, której spółką dominująca jest notowana na londyńskiej giełdzie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plc</w:t>
      </w:r>
      <w:proofErr w:type="spellEnd"/>
      <w:r>
        <w:rPr>
          <w:rFonts w:ascii="Arial" w:hAnsi="Arial"/>
          <w:sz w:val="18"/>
        </w:rPr>
        <w:t>.</w:t>
      </w:r>
    </w:p>
    <w:p w14:paraId="45367F77" w14:textId="5535EC1C" w:rsidR="00657B98" w:rsidRPr="00401DCA" w:rsidRDefault="00657B98" w:rsidP="00545B03">
      <w:pPr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/>
          <w:sz w:val="18"/>
        </w:rPr>
        <w:t xml:space="preserve">W Polsce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obecnie  aktywami w trzech sektorach rynku nieruchomości komercyjnych: biurowym, powierzchni logistycznych i handlowym. Ich</w:t>
      </w:r>
      <w:r w:rsidR="005562BE">
        <w:rPr>
          <w:rFonts w:ascii="Arial" w:hAnsi="Arial"/>
          <w:sz w:val="18"/>
        </w:rPr>
        <w:t xml:space="preserve"> łączna wartość wynosi około 1.5</w:t>
      </w:r>
      <w:r>
        <w:rPr>
          <w:rFonts w:ascii="Arial" w:hAnsi="Arial"/>
          <w:sz w:val="18"/>
        </w:rPr>
        <w:t xml:space="preserve"> mld EUR. Wśród nich znajdują się m.in. kompleks biurowy Gdański Business Center w Warszawie, Centrum Dystrybucyjne Amazon w Gliwicach, </w:t>
      </w:r>
      <w:r w:rsidR="00CD4F6F">
        <w:rPr>
          <w:rFonts w:ascii="Arial" w:hAnsi="Arial"/>
          <w:sz w:val="18"/>
        </w:rPr>
        <w:t xml:space="preserve">Centrum Dystrybucyjne Leroy Merlin w Piątku pod Łodzią, </w:t>
      </w:r>
      <w:r>
        <w:rPr>
          <w:rFonts w:ascii="Arial" w:hAnsi="Arial"/>
          <w:sz w:val="18"/>
        </w:rPr>
        <w:t>Centrum Dystrybucyjne H&amp;M w Bolesławcu czy Galeria Katowicka.</w:t>
      </w:r>
    </w:p>
    <w:p w14:paraId="3C5E958B" w14:textId="77777777" w:rsidR="002B7E4F" w:rsidRPr="00076100" w:rsidRDefault="002B7E4F" w:rsidP="002B7E4F">
      <w:pPr>
        <w:rPr>
          <w:rFonts w:ascii="Arial" w:hAnsi="Arial" w:cs="Arial"/>
          <w:b/>
          <w:bCs/>
          <w:sz w:val="18"/>
          <w:szCs w:val="18"/>
        </w:rPr>
      </w:pPr>
    </w:p>
    <w:p w14:paraId="356A36A5" w14:textId="77777777" w:rsidR="008D79B1" w:rsidRDefault="008D79B1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7319EF4F" w14:textId="44FE9838" w:rsidR="008A20CE" w:rsidRPr="00707EB9" w:rsidRDefault="008A20CE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61A56B65" w14:textId="4058C256" w:rsidR="008A20CE" w:rsidRPr="00707EB9" w:rsidRDefault="00CC0082" w:rsidP="008A20CE">
      <w:pPr>
        <w:spacing w:after="200"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 w:rsidRPr="00707EB9">
        <w:rPr>
          <w:rFonts w:ascii="Arial" w:hAnsi="Arial" w:cs="Arial"/>
          <w:b/>
          <w:bCs/>
          <w:sz w:val="18"/>
          <w:szCs w:val="18"/>
          <w:lang w:val="de-DE"/>
        </w:rPr>
        <w:t xml:space="preserve">Kontakt </w:t>
      </w:r>
      <w:proofErr w:type="spellStart"/>
      <w:r w:rsidRPr="00707EB9">
        <w:rPr>
          <w:rFonts w:ascii="Arial" w:hAnsi="Arial" w:cs="Arial"/>
          <w:b/>
          <w:bCs/>
          <w:sz w:val="18"/>
          <w:szCs w:val="18"/>
          <w:lang w:val="de-DE"/>
        </w:rPr>
        <w:t>dla</w:t>
      </w:r>
      <w:proofErr w:type="spellEnd"/>
      <w:r w:rsidRPr="00707EB9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Pr="00707EB9">
        <w:rPr>
          <w:rFonts w:ascii="Arial" w:hAnsi="Arial" w:cs="Arial"/>
          <w:b/>
          <w:bCs/>
          <w:sz w:val="18"/>
          <w:szCs w:val="18"/>
          <w:lang w:val="de-DE"/>
        </w:rPr>
        <w:t>mediów</w:t>
      </w:r>
      <w:proofErr w:type="spellEnd"/>
      <w:r w:rsidRPr="00707EB9">
        <w:rPr>
          <w:rFonts w:ascii="Arial" w:hAnsi="Arial" w:cs="Arial"/>
          <w:b/>
          <w:bCs/>
          <w:sz w:val="18"/>
          <w:szCs w:val="18"/>
          <w:lang w:val="de-DE"/>
        </w:rPr>
        <w:t>:</w:t>
      </w:r>
    </w:p>
    <w:p w14:paraId="68134C2C" w14:textId="475E2713" w:rsidR="00CC0082" w:rsidRPr="00707EB9" w:rsidRDefault="00CC0082" w:rsidP="00CC0082">
      <w:pPr>
        <w:contextualSpacing/>
        <w:rPr>
          <w:rFonts w:ascii="Arial" w:hAnsi="Arial" w:cs="Arial"/>
          <w:b/>
          <w:bCs/>
          <w:sz w:val="18"/>
          <w:szCs w:val="18"/>
          <w:lang w:val="de-DE"/>
        </w:rPr>
      </w:pPr>
      <w:proofErr w:type="spellStart"/>
      <w:r w:rsidRPr="00707EB9">
        <w:rPr>
          <w:rFonts w:ascii="Arial" w:hAnsi="Arial" w:cs="Arial"/>
          <w:b/>
          <w:bCs/>
          <w:sz w:val="18"/>
          <w:szCs w:val="18"/>
          <w:lang w:val="de-DE"/>
        </w:rPr>
        <w:t>Savills</w:t>
      </w:r>
      <w:proofErr w:type="spellEnd"/>
      <w:r w:rsidRPr="00707EB9">
        <w:rPr>
          <w:rFonts w:ascii="Arial" w:hAnsi="Arial" w:cs="Arial"/>
          <w:b/>
          <w:bCs/>
          <w:sz w:val="18"/>
          <w:szCs w:val="18"/>
          <w:lang w:val="de-DE"/>
        </w:rPr>
        <w:t xml:space="preserve"> Investment Management </w:t>
      </w:r>
      <w:proofErr w:type="spellStart"/>
      <w:r w:rsidRPr="00707EB9">
        <w:rPr>
          <w:rFonts w:ascii="Arial" w:hAnsi="Arial" w:cs="Arial"/>
          <w:b/>
          <w:bCs/>
          <w:sz w:val="18"/>
          <w:szCs w:val="18"/>
          <w:lang w:val="de-DE"/>
        </w:rPr>
        <w:t>Poland</w:t>
      </w:r>
      <w:proofErr w:type="spellEnd"/>
    </w:p>
    <w:p w14:paraId="7D6FAD50" w14:textId="0D59D539" w:rsidR="00CC0082" w:rsidRPr="00707EB9" w:rsidRDefault="00CC0082" w:rsidP="00CC0082">
      <w:pPr>
        <w:contextualSpacing/>
        <w:rPr>
          <w:rFonts w:ascii="Arial" w:hAnsi="Arial" w:cs="Arial"/>
          <w:bCs/>
          <w:sz w:val="18"/>
          <w:szCs w:val="18"/>
          <w:lang w:val="de-DE"/>
        </w:rPr>
      </w:pPr>
      <w:r w:rsidRPr="00707EB9">
        <w:rPr>
          <w:rFonts w:ascii="Arial" w:hAnsi="Arial" w:cs="Arial"/>
          <w:bCs/>
          <w:sz w:val="18"/>
          <w:szCs w:val="18"/>
          <w:lang w:val="de-DE"/>
        </w:rPr>
        <w:t>Krzysztof Wielgus</w:t>
      </w:r>
    </w:p>
    <w:p w14:paraId="282422DA" w14:textId="51BD2043" w:rsidR="00CC0082" w:rsidRPr="00707EB9" w:rsidRDefault="00CC0082" w:rsidP="00CC0082">
      <w:pPr>
        <w:contextualSpacing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707EB9">
        <w:rPr>
          <w:rFonts w:ascii="Arial" w:hAnsi="Arial" w:cs="Arial"/>
          <w:bCs/>
          <w:sz w:val="18"/>
          <w:szCs w:val="18"/>
          <w:lang w:val="de-DE"/>
        </w:rPr>
        <w:t>Advanced</w:t>
      </w:r>
      <w:proofErr w:type="spellEnd"/>
      <w:r w:rsidRPr="00707EB9">
        <w:rPr>
          <w:rFonts w:ascii="Arial" w:hAnsi="Arial" w:cs="Arial"/>
          <w:bCs/>
          <w:sz w:val="18"/>
          <w:szCs w:val="18"/>
          <w:lang w:val="de-DE"/>
        </w:rPr>
        <w:t xml:space="preserve"> PR</w:t>
      </w:r>
    </w:p>
    <w:p w14:paraId="5F8B9436" w14:textId="39C21FBF" w:rsidR="00CC0082" w:rsidRPr="00707EB9" w:rsidRDefault="00CC0082" w:rsidP="00CC0082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07EB9">
        <w:rPr>
          <w:rFonts w:ascii="Arial" w:hAnsi="Arial" w:cs="Arial"/>
          <w:bCs/>
          <w:sz w:val="18"/>
          <w:szCs w:val="18"/>
          <w:lang w:val="de-DE"/>
        </w:rPr>
        <w:t xml:space="preserve">Tel. +48 </w:t>
      </w:r>
      <w:r w:rsidRPr="00707EB9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>728 826 023</w:t>
      </w:r>
    </w:p>
    <w:p w14:paraId="43042705" w14:textId="1EB9E6A2" w:rsidR="00CC0082" w:rsidRPr="00707EB9" w:rsidRDefault="005E4E1D" w:rsidP="00CC0082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  <w:r w:rsidRPr="00707EB9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E: </w:t>
      </w:r>
      <w:hyperlink r:id="rId12" w:history="1">
        <w:r w:rsidR="000F5C2F" w:rsidRPr="00707EB9">
          <w:rPr>
            <w:rStyle w:val="Hipercze"/>
            <w:rFonts w:ascii="Arial" w:hAnsi="Arial" w:cs="Arial"/>
            <w:sz w:val="18"/>
            <w:szCs w:val="18"/>
            <w:lang w:val="en-US"/>
          </w:rPr>
          <w:t>kwielgus@advancedpr.pl</w:t>
        </w:r>
      </w:hyperlink>
      <w:r w:rsidR="000F5C2F" w:rsidRPr="00707EB9"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  <w:t xml:space="preserve"> </w:t>
      </w:r>
    </w:p>
    <w:p w14:paraId="020DDDBF" w14:textId="77777777" w:rsidR="00CC0082" w:rsidRPr="00707EB9" w:rsidRDefault="00CC0082" w:rsidP="00CC0082">
      <w:pPr>
        <w:contextualSpacing/>
        <w:rPr>
          <w:rFonts w:ascii="Arial" w:eastAsia="Calibri" w:hAnsi="Arial" w:cs="Arial"/>
          <w:noProof/>
          <w:color w:val="000000"/>
          <w:sz w:val="18"/>
          <w:szCs w:val="18"/>
          <w:lang w:val="en-US" w:eastAsia="pl-PL"/>
        </w:rPr>
      </w:pPr>
    </w:p>
    <w:p w14:paraId="269EC257" w14:textId="77777777" w:rsidR="00CC0082" w:rsidRPr="00CC0082" w:rsidRDefault="00CC0082" w:rsidP="00CC0082">
      <w:pPr>
        <w:contextualSpacing/>
        <w:rPr>
          <w:rFonts w:ascii="Arial" w:hAnsi="Arial" w:cs="Arial"/>
          <w:bCs/>
          <w:lang w:val="it-IT"/>
        </w:rPr>
      </w:pPr>
    </w:p>
    <w:sectPr w:rsidR="00CC0082" w:rsidRPr="00CC0082" w:rsidSect="0057189D">
      <w:headerReference w:type="default" r:id="rId13"/>
      <w:footerReference w:type="default" r:id="rId14"/>
      <w:pgSz w:w="11906" w:h="16838"/>
      <w:pgMar w:top="2269" w:right="1440" w:bottom="709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38025" w14:textId="77777777" w:rsidR="00450474" w:rsidRDefault="00450474">
      <w:r>
        <w:separator/>
      </w:r>
    </w:p>
  </w:endnote>
  <w:endnote w:type="continuationSeparator" w:id="0">
    <w:p w14:paraId="2F2F971B" w14:textId="77777777" w:rsidR="00450474" w:rsidRDefault="00450474">
      <w:r>
        <w:continuationSeparator/>
      </w:r>
    </w:p>
  </w:endnote>
  <w:endnote w:type="continuationNotice" w:id="1">
    <w:p w14:paraId="4725B43F" w14:textId="77777777" w:rsidR="00450474" w:rsidRDefault="00450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Cambria"/>
    <w:charset w:val="00"/>
    <w:family w:val="swiss"/>
    <w:pitch w:val="variable"/>
    <w:sig w:usb0="80000027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A0B6" w14:textId="6E256D21" w:rsidR="00F72642" w:rsidRPr="00E0592F" w:rsidRDefault="00F72642" w:rsidP="007D4A9E">
    <w:pPr>
      <w:pStyle w:val="Stopka"/>
      <w:tabs>
        <w:tab w:val="clear" w:pos="4153"/>
        <w:tab w:val="clear" w:pos="8306"/>
        <w:tab w:val="right" w:pos="9020"/>
      </w:tabs>
      <w:jc w:val="right"/>
      <w:rPr>
        <w:rFonts w:ascii="Arial" w:hAnsi="Arial" w:cs="Arial"/>
        <w:sz w:val="18"/>
        <w:szCs w:val="18"/>
      </w:rPr>
    </w:pPr>
    <w:r w:rsidRPr="00E0592F">
      <w:rPr>
        <w:rFonts w:ascii="Arial" w:hAnsi="Arial" w:cs="Arial"/>
        <w:bCs/>
        <w:sz w:val="18"/>
        <w:szCs w:val="18"/>
      </w:rPr>
      <w:fldChar w:fldCharType="begin"/>
    </w:r>
    <w:r w:rsidRPr="00E0592F">
      <w:rPr>
        <w:rFonts w:ascii="Arial" w:hAnsi="Arial" w:cs="Arial"/>
        <w:bCs/>
        <w:sz w:val="18"/>
        <w:szCs w:val="18"/>
      </w:rPr>
      <w:instrText>PAGE  \* Arabic  \* MERGEFORMAT</w:instrText>
    </w:r>
    <w:r w:rsidRPr="00E0592F">
      <w:rPr>
        <w:rFonts w:ascii="Arial" w:hAnsi="Arial" w:cs="Arial"/>
        <w:bCs/>
        <w:sz w:val="18"/>
        <w:szCs w:val="18"/>
      </w:rPr>
      <w:fldChar w:fldCharType="separate"/>
    </w:r>
    <w:r w:rsidR="00F65825">
      <w:rPr>
        <w:rFonts w:ascii="Arial" w:hAnsi="Arial" w:cs="Arial"/>
        <w:bCs/>
        <w:noProof/>
        <w:sz w:val="18"/>
        <w:szCs w:val="18"/>
      </w:rPr>
      <w:t>6</w:t>
    </w:r>
    <w:r w:rsidRPr="00E0592F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/ </w:t>
    </w:r>
    <w:r w:rsidR="00C572E7">
      <w:rPr>
        <w:rFonts w:ascii="Arial" w:hAnsi="Arial" w:cs="Arial"/>
        <w:bCs/>
        <w:sz w:val="18"/>
        <w:szCs w:val="18"/>
      </w:rPr>
      <w:fldChar w:fldCharType="begin"/>
    </w:r>
    <w:r w:rsidR="00C572E7">
      <w:rPr>
        <w:rFonts w:ascii="Arial" w:hAnsi="Arial" w:cs="Arial"/>
        <w:bCs/>
        <w:sz w:val="18"/>
        <w:szCs w:val="18"/>
      </w:rPr>
      <w:instrText>NUMPAGES  \* Arabic  \* MERGEFORMAT</w:instrText>
    </w:r>
    <w:r w:rsidR="00C572E7">
      <w:rPr>
        <w:rFonts w:ascii="Arial" w:hAnsi="Arial" w:cs="Arial"/>
        <w:bCs/>
        <w:sz w:val="18"/>
        <w:szCs w:val="18"/>
      </w:rPr>
      <w:fldChar w:fldCharType="separate"/>
    </w:r>
    <w:r w:rsidR="00F65825">
      <w:rPr>
        <w:rFonts w:ascii="Arial" w:hAnsi="Arial" w:cs="Arial"/>
        <w:bCs/>
        <w:noProof/>
        <w:sz w:val="18"/>
        <w:szCs w:val="18"/>
      </w:rPr>
      <w:t>6</w:t>
    </w:r>
    <w:r w:rsidR="00C572E7">
      <w:rPr>
        <w:rFonts w:ascii="Arial" w:hAnsi="Arial" w:cs="Arial"/>
        <w:bCs/>
        <w:sz w:val="18"/>
        <w:szCs w:val="18"/>
      </w:rPr>
      <w:fldChar w:fldCharType="end"/>
    </w:r>
  </w:p>
  <w:p w14:paraId="4434516A" w14:textId="77777777" w:rsidR="00F72642" w:rsidRDefault="00F72642">
    <w:pPr>
      <w:pStyle w:val="Stopka"/>
      <w:tabs>
        <w:tab w:val="clear" w:pos="4153"/>
        <w:tab w:val="clear" w:pos="8306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29D4" w14:textId="77777777" w:rsidR="00450474" w:rsidRDefault="00450474">
      <w:r>
        <w:separator/>
      </w:r>
    </w:p>
  </w:footnote>
  <w:footnote w:type="continuationSeparator" w:id="0">
    <w:p w14:paraId="5FEBCF62" w14:textId="77777777" w:rsidR="00450474" w:rsidRDefault="00450474">
      <w:r>
        <w:continuationSeparator/>
      </w:r>
    </w:p>
  </w:footnote>
  <w:footnote w:type="continuationNotice" w:id="1">
    <w:p w14:paraId="643C0369" w14:textId="77777777" w:rsidR="00450474" w:rsidRDefault="00450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70F59" w14:textId="5D6ADC1D" w:rsidR="00F72642" w:rsidRDefault="00F72642">
    <w:pPr>
      <w:pStyle w:val="Nagwek"/>
      <w:tabs>
        <w:tab w:val="clear" w:pos="8306"/>
        <w:tab w:val="right" w:pos="9072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308DE2A2" wp14:editId="4E3C1DB1">
          <wp:extent cx="1820545" cy="598170"/>
          <wp:effectExtent l="0" t="0" r="8255" b="0"/>
          <wp:docPr id="2" name="Grafik 2" descr="Z:\Kunden\Cordea Savills\Grafik\Logo Savills Inves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rdea Savills\Grafik\Logo Savills Inves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AD"/>
    <w:multiLevelType w:val="hybridMultilevel"/>
    <w:tmpl w:val="9D8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1A206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46DD"/>
    <w:multiLevelType w:val="hybridMultilevel"/>
    <w:tmpl w:val="A39E6E0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8826B7"/>
    <w:multiLevelType w:val="hybridMultilevel"/>
    <w:tmpl w:val="6DCA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27E"/>
    <w:multiLevelType w:val="hybridMultilevel"/>
    <w:tmpl w:val="23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3500"/>
    <w:multiLevelType w:val="hybridMultilevel"/>
    <w:tmpl w:val="2328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9437B7"/>
    <w:multiLevelType w:val="hybridMultilevel"/>
    <w:tmpl w:val="A94C4976"/>
    <w:lvl w:ilvl="0" w:tplc="B5A6512A">
      <w:start w:val="1"/>
      <w:numFmt w:val="bullet"/>
      <w:pStyle w:val="Bullet11"/>
      <w:lvlText w:val="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725CBC"/>
    <w:multiLevelType w:val="hybridMultilevel"/>
    <w:tmpl w:val="C178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47CF8"/>
    <w:multiLevelType w:val="hybridMultilevel"/>
    <w:tmpl w:val="0C66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13548D"/>
    <w:multiLevelType w:val="hybridMultilevel"/>
    <w:tmpl w:val="33AEF32E"/>
    <w:lvl w:ilvl="0" w:tplc="4F8AE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FD5701"/>
    <w:multiLevelType w:val="hybridMultilevel"/>
    <w:tmpl w:val="DE5AAF54"/>
    <w:lvl w:ilvl="0" w:tplc="A1E2F0F6">
      <w:start w:val="1"/>
      <w:numFmt w:val="bullet"/>
      <w:pStyle w:val="Bulletcopy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F43E62"/>
    <w:multiLevelType w:val="multilevel"/>
    <w:tmpl w:val="10A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40D6C"/>
    <w:multiLevelType w:val="hybridMultilevel"/>
    <w:tmpl w:val="52C4AA62"/>
    <w:lvl w:ilvl="0" w:tplc="75F228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41E8A"/>
    <w:multiLevelType w:val="hybridMultilevel"/>
    <w:tmpl w:val="7A08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00F3"/>
    <w:multiLevelType w:val="hybridMultilevel"/>
    <w:tmpl w:val="138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5097"/>
    <w:multiLevelType w:val="hybridMultilevel"/>
    <w:tmpl w:val="31B8C8CE"/>
    <w:lvl w:ilvl="0" w:tplc="DB9A4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944AE"/>
    <w:multiLevelType w:val="hybridMultilevel"/>
    <w:tmpl w:val="20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7"/>
  </w:num>
  <w:num w:numId="6">
    <w:abstractNumId w:val="19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8"/>
  </w:num>
  <w:num w:numId="12">
    <w:abstractNumId w:val="2"/>
  </w:num>
  <w:num w:numId="13">
    <w:abstractNumId w:val="21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14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tDAxMDU2NDcxNjUyUdpeDU4uLM/DyQAsNaANDaVdssAAAA"/>
  </w:docVars>
  <w:rsids>
    <w:rsidRoot w:val="002A0AD6"/>
    <w:rsid w:val="000002A2"/>
    <w:rsid w:val="000013F2"/>
    <w:rsid w:val="00003711"/>
    <w:rsid w:val="00003DD0"/>
    <w:rsid w:val="00003DE2"/>
    <w:rsid w:val="00006D5F"/>
    <w:rsid w:val="000076B2"/>
    <w:rsid w:val="0001119F"/>
    <w:rsid w:val="0001134E"/>
    <w:rsid w:val="0001144F"/>
    <w:rsid w:val="00012C38"/>
    <w:rsid w:val="00013CE6"/>
    <w:rsid w:val="00014002"/>
    <w:rsid w:val="0001429E"/>
    <w:rsid w:val="00014BE1"/>
    <w:rsid w:val="000173EE"/>
    <w:rsid w:val="00017619"/>
    <w:rsid w:val="000251F8"/>
    <w:rsid w:val="00030CE7"/>
    <w:rsid w:val="00030D53"/>
    <w:rsid w:val="0003170B"/>
    <w:rsid w:val="0003556E"/>
    <w:rsid w:val="00035DC3"/>
    <w:rsid w:val="00036C73"/>
    <w:rsid w:val="00037F36"/>
    <w:rsid w:val="000442AA"/>
    <w:rsid w:val="00044B60"/>
    <w:rsid w:val="00046351"/>
    <w:rsid w:val="00046F1D"/>
    <w:rsid w:val="0005038D"/>
    <w:rsid w:val="00052901"/>
    <w:rsid w:val="00054BB5"/>
    <w:rsid w:val="00054D17"/>
    <w:rsid w:val="00055729"/>
    <w:rsid w:val="000561E7"/>
    <w:rsid w:val="0005628C"/>
    <w:rsid w:val="000562D9"/>
    <w:rsid w:val="000606D3"/>
    <w:rsid w:val="000607C6"/>
    <w:rsid w:val="00060BA8"/>
    <w:rsid w:val="00061304"/>
    <w:rsid w:val="000618E5"/>
    <w:rsid w:val="0006267F"/>
    <w:rsid w:val="000641F0"/>
    <w:rsid w:val="000642C9"/>
    <w:rsid w:val="00064A40"/>
    <w:rsid w:val="00067FC1"/>
    <w:rsid w:val="00071F48"/>
    <w:rsid w:val="00072189"/>
    <w:rsid w:val="00072A5F"/>
    <w:rsid w:val="00072C31"/>
    <w:rsid w:val="000737F3"/>
    <w:rsid w:val="00074DA1"/>
    <w:rsid w:val="00075CD2"/>
    <w:rsid w:val="00076100"/>
    <w:rsid w:val="000801F3"/>
    <w:rsid w:val="00082375"/>
    <w:rsid w:val="0008251A"/>
    <w:rsid w:val="00084958"/>
    <w:rsid w:val="00084C49"/>
    <w:rsid w:val="00084DDE"/>
    <w:rsid w:val="000859B0"/>
    <w:rsid w:val="0009102A"/>
    <w:rsid w:val="0009136F"/>
    <w:rsid w:val="0009183A"/>
    <w:rsid w:val="000938D2"/>
    <w:rsid w:val="00093B3A"/>
    <w:rsid w:val="00093D14"/>
    <w:rsid w:val="00095215"/>
    <w:rsid w:val="0009589F"/>
    <w:rsid w:val="00096DD7"/>
    <w:rsid w:val="00097751"/>
    <w:rsid w:val="00097DAF"/>
    <w:rsid w:val="000A0627"/>
    <w:rsid w:val="000B0A68"/>
    <w:rsid w:val="000B0AFF"/>
    <w:rsid w:val="000B229E"/>
    <w:rsid w:val="000B2779"/>
    <w:rsid w:val="000B416D"/>
    <w:rsid w:val="000B4337"/>
    <w:rsid w:val="000B5B19"/>
    <w:rsid w:val="000B700D"/>
    <w:rsid w:val="000B7088"/>
    <w:rsid w:val="000B7C18"/>
    <w:rsid w:val="000C23DA"/>
    <w:rsid w:val="000C2CE7"/>
    <w:rsid w:val="000C4E12"/>
    <w:rsid w:val="000C4F43"/>
    <w:rsid w:val="000C5E05"/>
    <w:rsid w:val="000C6178"/>
    <w:rsid w:val="000C6625"/>
    <w:rsid w:val="000C6BD6"/>
    <w:rsid w:val="000D04F8"/>
    <w:rsid w:val="000D09E2"/>
    <w:rsid w:val="000D126D"/>
    <w:rsid w:val="000D12DD"/>
    <w:rsid w:val="000D15CE"/>
    <w:rsid w:val="000D1C0C"/>
    <w:rsid w:val="000D2D72"/>
    <w:rsid w:val="000D3E71"/>
    <w:rsid w:val="000D5918"/>
    <w:rsid w:val="000D5EE4"/>
    <w:rsid w:val="000D7E91"/>
    <w:rsid w:val="000E227D"/>
    <w:rsid w:val="000E2F27"/>
    <w:rsid w:val="000E4926"/>
    <w:rsid w:val="000E4928"/>
    <w:rsid w:val="000E5914"/>
    <w:rsid w:val="000E697F"/>
    <w:rsid w:val="000E69B9"/>
    <w:rsid w:val="000E7B7A"/>
    <w:rsid w:val="000F0235"/>
    <w:rsid w:val="000F1828"/>
    <w:rsid w:val="000F1E9F"/>
    <w:rsid w:val="000F2AA5"/>
    <w:rsid w:val="000F2B0A"/>
    <w:rsid w:val="000F2B5B"/>
    <w:rsid w:val="000F2B74"/>
    <w:rsid w:val="000F2F86"/>
    <w:rsid w:val="000F31DD"/>
    <w:rsid w:val="000F40C7"/>
    <w:rsid w:val="000F4B34"/>
    <w:rsid w:val="000F543C"/>
    <w:rsid w:val="000F5C2F"/>
    <w:rsid w:val="000F6549"/>
    <w:rsid w:val="00101345"/>
    <w:rsid w:val="00101E3B"/>
    <w:rsid w:val="0010292F"/>
    <w:rsid w:val="00102C16"/>
    <w:rsid w:val="00104B15"/>
    <w:rsid w:val="00105382"/>
    <w:rsid w:val="00105D80"/>
    <w:rsid w:val="00106136"/>
    <w:rsid w:val="00106523"/>
    <w:rsid w:val="00106751"/>
    <w:rsid w:val="001069FA"/>
    <w:rsid w:val="001073A6"/>
    <w:rsid w:val="001078C8"/>
    <w:rsid w:val="0011145A"/>
    <w:rsid w:val="00111BC0"/>
    <w:rsid w:val="00111E03"/>
    <w:rsid w:val="001121C1"/>
    <w:rsid w:val="001125A9"/>
    <w:rsid w:val="0011291C"/>
    <w:rsid w:val="00112A79"/>
    <w:rsid w:val="00113F6E"/>
    <w:rsid w:val="00114E50"/>
    <w:rsid w:val="001156F5"/>
    <w:rsid w:val="0011587D"/>
    <w:rsid w:val="00116A92"/>
    <w:rsid w:val="00116CFA"/>
    <w:rsid w:val="001178C2"/>
    <w:rsid w:val="00120878"/>
    <w:rsid w:val="00120E41"/>
    <w:rsid w:val="0012113F"/>
    <w:rsid w:val="0012248D"/>
    <w:rsid w:val="0012279A"/>
    <w:rsid w:val="0012501F"/>
    <w:rsid w:val="00125E6C"/>
    <w:rsid w:val="00126C5E"/>
    <w:rsid w:val="001270C6"/>
    <w:rsid w:val="001276D3"/>
    <w:rsid w:val="001279F5"/>
    <w:rsid w:val="00130A44"/>
    <w:rsid w:val="00131213"/>
    <w:rsid w:val="00131498"/>
    <w:rsid w:val="00131CB5"/>
    <w:rsid w:val="0013223B"/>
    <w:rsid w:val="001323E9"/>
    <w:rsid w:val="001332C2"/>
    <w:rsid w:val="00134485"/>
    <w:rsid w:val="001346B9"/>
    <w:rsid w:val="00134967"/>
    <w:rsid w:val="0013566D"/>
    <w:rsid w:val="001364AA"/>
    <w:rsid w:val="00136C50"/>
    <w:rsid w:val="00140208"/>
    <w:rsid w:val="00144CF4"/>
    <w:rsid w:val="0014549A"/>
    <w:rsid w:val="00147368"/>
    <w:rsid w:val="00147A08"/>
    <w:rsid w:val="00150A87"/>
    <w:rsid w:val="00150CC8"/>
    <w:rsid w:val="00150E51"/>
    <w:rsid w:val="001511D9"/>
    <w:rsid w:val="0015234E"/>
    <w:rsid w:val="001535FA"/>
    <w:rsid w:val="00153D2F"/>
    <w:rsid w:val="00153D7A"/>
    <w:rsid w:val="00153F1E"/>
    <w:rsid w:val="00154088"/>
    <w:rsid w:val="001543E0"/>
    <w:rsid w:val="00155EC0"/>
    <w:rsid w:val="00155F89"/>
    <w:rsid w:val="00156310"/>
    <w:rsid w:val="00157E78"/>
    <w:rsid w:val="0016129C"/>
    <w:rsid w:val="00161F13"/>
    <w:rsid w:val="001622F4"/>
    <w:rsid w:val="00163011"/>
    <w:rsid w:val="001632BC"/>
    <w:rsid w:val="0016393F"/>
    <w:rsid w:val="00163AD2"/>
    <w:rsid w:val="00163C11"/>
    <w:rsid w:val="0016467C"/>
    <w:rsid w:val="001663D7"/>
    <w:rsid w:val="0016640F"/>
    <w:rsid w:val="0016758A"/>
    <w:rsid w:val="001701BE"/>
    <w:rsid w:val="00171593"/>
    <w:rsid w:val="00171A3E"/>
    <w:rsid w:val="00172384"/>
    <w:rsid w:val="001739F2"/>
    <w:rsid w:val="001742D8"/>
    <w:rsid w:val="0017477C"/>
    <w:rsid w:val="001754DD"/>
    <w:rsid w:val="001758F8"/>
    <w:rsid w:val="00176A60"/>
    <w:rsid w:val="001772E3"/>
    <w:rsid w:val="00181BFC"/>
    <w:rsid w:val="001826D6"/>
    <w:rsid w:val="001835A3"/>
    <w:rsid w:val="00183DE9"/>
    <w:rsid w:val="0018520D"/>
    <w:rsid w:val="0018554A"/>
    <w:rsid w:val="00186E5F"/>
    <w:rsid w:val="00187D90"/>
    <w:rsid w:val="00187FED"/>
    <w:rsid w:val="0019066D"/>
    <w:rsid w:val="0019112F"/>
    <w:rsid w:val="00191769"/>
    <w:rsid w:val="001917D6"/>
    <w:rsid w:val="0019275C"/>
    <w:rsid w:val="00193758"/>
    <w:rsid w:val="0019469F"/>
    <w:rsid w:val="001947FB"/>
    <w:rsid w:val="001950DC"/>
    <w:rsid w:val="00195153"/>
    <w:rsid w:val="001956C1"/>
    <w:rsid w:val="0019584F"/>
    <w:rsid w:val="0019654E"/>
    <w:rsid w:val="00196E47"/>
    <w:rsid w:val="001A0C06"/>
    <w:rsid w:val="001A0DD8"/>
    <w:rsid w:val="001A2A21"/>
    <w:rsid w:val="001A4ED0"/>
    <w:rsid w:val="001A5B3E"/>
    <w:rsid w:val="001A5CEE"/>
    <w:rsid w:val="001B00CB"/>
    <w:rsid w:val="001B0912"/>
    <w:rsid w:val="001B11BA"/>
    <w:rsid w:val="001B18E6"/>
    <w:rsid w:val="001B2F2B"/>
    <w:rsid w:val="001B3B29"/>
    <w:rsid w:val="001B6360"/>
    <w:rsid w:val="001B7260"/>
    <w:rsid w:val="001B7BA5"/>
    <w:rsid w:val="001C1633"/>
    <w:rsid w:val="001C37EF"/>
    <w:rsid w:val="001C3F21"/>
    <w:rsid w:val="001C4230"/>
    <w:rsid w:val="001C435F"/>
    <w:rsid w:val="001C4918"/>
    <w:rsid w:val="001C5022"/>
    <w:rsid w:val="001D138D"/>
    <w:rsid w:val="001D2110"/>
    <w:rsid w:val="001D29CC"/>
    <w:rsid w:val="001D313C"/>
    <w:rsid w:val="001D3653"/>
    <w:rsid w:val="001D3734"/>
    <w:rsid w:val="001D4470"/>
    <w:rsid w:val="001D65E3"/>
    <w:rsid w:val="001D76F9"/>
    <w:rsid w:val="001E1A55"/>
    <w:rsid w:val="001E3AC8"/>
    <w:rsid w:val="001E4487"/>
    <w:rsid w:val="001E49D2"/>
    <w:rsid w:val="001E4BB6"/>
    <w:rsid w:val="001E5C82"/>
    <w:rsid w:val="001E603A"/>
    <w:rsid w:val="001E7234"/>
    <w:rsid w:val="001E7874"/>
    <w:rsid w:val="001E7D2E"/>
    <w:rsid w:val="001F00B3"/>
    <w:rsid w:val="001F0E1E"/>
    <w:rsid w:val="001F11DA"/>
    <w:rsid w:val="001F12EA"/>
    <w:rsid w:val="001F3761"/>
    <w:rsid w:val="001F51DB"/>
    <w:rsid w:val="001F5731"/>
    <w:rsid w:val="001F6CF2"/>
    <w:rsid w:val="001F7304"/>
    <w:rsid w:val="0020032F"/>
    <w:rsid w:val="00201106"/>
    <w:rsid w:val="0020378F"/>
    <w:rsid w:val="002045F9"/>
    <w:rsid w:val="002051FC"/>
    <w:rsid w:val="002060B6"/>
    <w:rsid w:val="00207495"/>
    <w:rsid w:val="0020751E"/>
    <w:rsid w:val="00210C85"/>
    <w:rsid w:val="00212D66"/>
    <w:rsid w:val="0021601E"/>
    <w:rsid w:val="00216962"/>
    <w:rsid w:val="00216B61"/>
    <w:rsid w:val="00216B8B"/>
    <w:rsid w:val="00217028"/>
    <w:rsid w:val="002203E1"/>
    <w:rsid w:val="0022042D"/>
    <w:rsid w:val="00220CF4"/>
    <w:rsid w:val="00221D72"/>
    <w:rsid w:val="0022515C"/>
    <w:rsid w:val="0022640F"/>
    <w:rsid w:val="00226D21"/>
    <w:rsid w:val="00226DBE"/>
    <w:rsid w:val="0023215B"/>
    <w:rsid w:val="00232D10"/>
    <w:rsid w:val="0023450E"/>
    <w:rsid w:val="002414FE"/>
    <w:rsid w:val="00243467"/>
    <w:rsid w:val="00243BB4"/>
    <w:rsid w:val="00247B1C"/>
    <w:rsid w:val="002506AC"/>
    <w:rsid w:val="00251FE6"/>
    <w:rsid w:val="00252800"/>
    <w:rsid w:val="00253FAE"/>
    <w:rsid w:val="00254369"/>
    <w:rsid w:val="0025453F"/>
    <w:rsid w:val="0025471C"/>
    <w:rsid w:val="0025551E"/>
    <w:rsid w:val="002556FC"/>
    <w:rsid w:val="00255E2E"/>
    <w:rsid w:val="00256081"/>
    <w:rsid w:val="00256523"/>
    <w:rsid w:val="00257E44"/>
    <w:rsid w:val="00260059"/>
    <w:rsid w:val="00262690"/>
    <w:rsid w:val="00264B96"/>
    <w:rsid w:val="00264D8D"/>
    <w:rsid w:val="00265471"/>
    <w:rsid w:val="002657EC"/>
    <w:rsid w:val="00265E99"/>
    <w:rsid w:val="00266BF8"/>
    <w:rsid w:val="00266EEB"/>
    <w:rsid w:val="0026760F"/>
    <w:rsid w:val="002712C0"/>
    <w:rsid w:val="00271D47"/>
    <w:rsid w:val="00271ECB"/>
    <w:rsid w:val="00273532"/>
    <w:rsid w:val="00273620"/>
    <w:rsid w:val="0027794A"/>
    <w:rsid w:val="0028047E"/>
    <w:rsid w:val="00281BAF"/>
    <w:rsid w:val="002827C5"/>
    <w:rsid w:val="00284394"/>
    <w:rsid w:val="00286DB1"/>
    <w:rsid w:val="002905EB"/>
    <w:rsid w:val="00290C6A"/>
    <w:rsid w:val="00291878"/>
    <w:rsid w:val="00292750"/>
    <w:rsid w:val="00293436"/>
    <w:rsid w:val="0029387E"/>
    <w:rsid w:val="002957CC"/>
    <w:rsid w:val="00296872"/>
    <w:rsid w:val="00297C38"/>
    <w:rsid w:val="002A0AD6"/>
    <w:rsid w:val="002A1EB8"/>
    <w:rsid w:val="002A3101"/>
    <w:rsid w:val="002A3F5C"/>
    <w:rsid w:val="002A44E3"/>
    <w:rsid w:val="002A6A9C"/>
    <w:rsid w:val="002A752E"/>
    <w:rsid w:val="002B1981"/>
    <w:rsid w:val="002B51F1"/>
    <w:rsid w:val="002B5898"/>
    <w:rsid w:val="002B695A"/>
    <w:rsid w:val="002B746B"/>
    <w:rsid w:val="002B7E4F"/>
    <w:rsid w:val="002C12AE"/>
    <w:rsid w:val="002C1AE7"/>
    <w:rsid w:val="002C291A"/>
    <w:rsid w:val="002C37B6"/>
    <w:rsid w:val="002C487F"/>
    <w:rsid w:val="002C7587"/>
    <w:rsid w:val="002D0182"/>
    <w:rsid w:val="002D2FB7"/>
    <w:rsid w:val="002D36A8"/>
    <w:rsid w:val="002D3CB9"/>
    <w:rsid w:val="002D4D79"/>
    <w:rsid w:val="002D5F2A"/>
    <w:rsid w:val="002D6185"/>
    <w:rsid w:val="002D7164"/>
    <w:rsid w:val="002D7BFC"/>
    <w:rsid w:val="002E01F1"/>
    <w:rsid w:val="002E0EA7"/>
    <w:rsid w:val="002E193B"/>
    <w:rsid w:val="002E1C47"/>
    <w:rsid w:val="002E2CC9"/>
    <w:rsid w:val="002E434B"/>
    <w:rsid w:val="002E4E21"/>
    <w:rsid w:val="002E5553"/>
    <w:rsid w:val="002E5C18"/>
    <w:rsid w:val="002E5DC8"/>
    <w:rsid w:val="002E73BA"/>
    <w:rsid w:val="002F0906"/>
    <w:rsid w:val="002F2B39"/>
    <w:rsid w:val="002F2BB7"/>
    <w:rsid w:val="002F34D0"/>
    <w:rsid w:val="002F4948"/>
    <w:rsid w:val="002F51B0"/>
    <w:rsid w:val="002F5CE8"/>
    <w:rsid w:val="002F60B0"/>
    <w:rsid w:val="002F65E0"/>
    <w:rsid w:val="002F6B3E"/>
    <w:rsid w:val="002F6BFB"/>
    <w:rsid w:val="0030066B"/>
    <w:rsid w:val="003012D5"/>
    <w:rsid w:val="003017FE"/>
    <w:rsid w:val="0030200A"/>
    <w:rsid w:val="00304E58"/>
    <w:rsid w:val="003052DB"/>
    <w:rsid w:val="003058A7"/>
    <w:rsid w:val="003065F7"/>
    <w:rsid w:val="00310786"/>
    <w:rsid w:val="00311908"/>
    <w:rsid w:val="00312337"/>
    <w:rsid w:val="003127F8"/>
    <w:rsid w:val="00312D83"/>
    <w:rsid w:val="003136AC"/>
    <w:rsid w:val="00313D80"/>
    <w:rsid w:val="00313FCC"/>
    <w:rsid w:val="00314852"/>
    <w:rsid w:val="00315216"/>
    <w:rsid w:val="00315500"/>
    <w:rsid w:val="00317101"/>
    <w:rsid w:val="0031798F"/>
    <w:rsid w:val="00317EC4"/>
    <w:rsid w:val="0032176A"/>
    <w:rsid w:val="00322126"/>
    <w:rsid w:val="003227C0"/>
    <w:rsid w:val="00323EC7"/>
    <w:rsid w:val="00324BFD"/>
    <w:rsid w:val="003261C3"/>
    <w:rsid w:val="003274EA"/>
    <w:rsid w:val="00327A0E"/>
    <w:rsid w:val="003317C0"/>
    <w:rsid w:val="003317CD"/>
    <w:rsid w:val="003344DD"/>
    <w:rsid w:val="00335157"/>
    <w:rsid w:val="00335355"/>
    <w:rsid w:val="0033561E"/>
    <w:rsid w:val="0033573C"/>
    <w:rsid w:val="00336075"/>
    <w:rsid w:val="00336372"/>
    <w:rsid w:val="00336EC9"/>
    <w:rsid w:val="00340336"/>
    <w:rsid w:val="0034201F"/>
    <w:rsid w:val="00342998"/>
    <w:rsid w:val="00344B36"/>
    <w:rsid w:val="00347080"/>
    <w:rsid w:val="00347C9D"/>
    <w:rsid w:val="0035051F"/>
    <w:rsid w:val="0035082D"/>
    <w:rsid w:val="00351785"/>
    <w:rsid w:val="00351801"/>
    <w:rsid w:val="00354704"/>
    <w:rsid w:val="00355868"/>
    <w:rsid w:val="003559F6"/>
    <w:rsid w:val="00356F07"/>
    <w:rsid w:val="00360AE5"/>
    <w:rsid w:val="003618DF"/>
    <w:rsid w:val="00364D15"/>
    <w:rsid w:val="00365162"/>
    <w:rsid w:val="00365308"/>
    <w:rsid w:val="00365528"/>
    <w:rsid w:val="00365719"/>
    <w:rsid w:val="00365BF4"/>
    <w:rsid w:val="00367893"/>
    <w:rsid w:val="003714F6"/>
    <w:rsid w:val="00371C67"/>
    <w:rsid w:val="0037200D"/>
    <w:rsid w:val="00372351"/>
    <w:rsid w:val="00372AF3"/>
    <w:rsid w:val="00373084"/>
    <w:rsid w:val="00373245"/>
    <w:rsid w:val="0037328A"/>
    <w:rsid w:val="00373662"/>
    <w:rsid w:val="00375A60"/>
    <w:rsid w:val="00375B0C"/>
    <w:rsid w:val="0037692F"/>
    <w:rsid w:val="00380047"/>
    <w:rsid w:val="00380521"/>
    <w:rsid w:val="003813CA"/>
    <w:rsid w:val="003821B6"/>
    <w:rsid w:val="00382261"/>
    <w:rsid w:val="0038324F"/>
    <w:rsid w:val="0038433D"/>
    <w:rsid w:val="0038521C"/>
    <w:rsid w:val="003867E3"/>
    <w:rsid w:val="0038708A"/>
    <w:rsid w:val="003872EE"/>
    <w:rsid w:val="003875E4"/>
    <w:rsid w:val="0039020C"/>
    <w:rsid w:val="00391DCA"/>
    <w:rsid w:val="0039206E"/>
    <w:rsid w:val="0039229C"/>
    <w:rsid w:val="00392969"/>
    <w:rsid w:val="00392D2F"/>
    <w:rsid w:val="00394151"/>
    <w:rsid w:val="00394C52"/>
    <w:rsid w:val="00395260"/>
    <w:rsid w:val="0039687A"/>
    <w:rsid w:val="00397151"/>
    <w:rsid w:val="003A0398"/>
    <w:rsid w:val="003A7D9D"/>
    <w:rsid w:val="003B036D"/>
    <w:rsid w:val="003B232C"/>
    <w:rsid w:val="003B37D1"/>
    <w:rsid w:val="003B3B46"/>
    <w:rsid w:val="003B53F2"/>
    <w:rsid w:val="003B6F5A"/>
    <w:rsid w:val="003B796E"/>
    <w:rsid w:val="003B7F91"/>
    <w:rsid w:val="003C0800"/>
    <w:rsid w:val="003C0A38"/>
    <w:rsid w:val="003C0AE6"/>
    <w:rsid w:val="003C1875"/>
    <w:rsid w:val="003C2355"/>
    <w:rsid w:val="003C2684"/>
    <w:rsid w:val="003C35D8"/>
    <w:rsid w:val="003C41F8"/>
    <w:rsid w:val="003C7730"/>
    <w:rsid w:val="003C7FAD"/>
    <w:rsid w:val="003D222B"/>
    <w:rsid w:val="003D23F1"/>
    <w:rsid w:val="003D25F7"/>
    <w:rsid w:val="003D4313"/>
    <w:rsid w:val="003E1576"/>
    <w:rsid w:val="003E1BBB"/>
    <w:rsid w:val="003E2C91"/>
    <w:rsid w:val="003E2F06"/>
    <w:rsid w:val="003E35A6"/>
    <w:rsid w:val="003E38C9"/>
    <w:rsid w:val="003E3BB9"/>
    <w:rsid w:val="003E4EC4"/>
    <w:rsid w:val="003E6572"/>
    <w:rsid w:val="003E7363"/>
    <w:rsid w:val="003E7623"/>
    <w:rsid w:val="003E7ABA"/>
    <w:rsid w:val="003E7E54"/>
    <w:rsid w:val="003F003C"/>
    <w:rsid w:val="003F03CA"/>
    <w:rsid w:val="003F0503"/>
    <w:rsid w:val="003F0BE0"/>
    <w:rsid w:val="003F13F6"/>
    <w:rsid w:val="003F1481"/>
    <w:rsid w:val="003F1922"/>
    <w:rsid w:val="003F226E"/>
    <w:rsid w:val="003F2BE3"/>
    <w:rsid w:val="003F37F6"/>
    <w:rsid w:val="003F4827"/>
    <w:rsid w:val="003F4FA6"/>
    <w:rsid w:val="003F58FC"/>
    <w:rsid w:val="003F5939"/>
    <w:rsid w:val="003F5BC4"/>
    <w:rsid w:val="003F6470"/>
    <w:rsid w:val="00400F55"/>
    <w:rsid w:val="00402F21"/>
    <w:rsid w:val="00403CC9"/>
    <w:rsid w:val="00404EA1"/>
    <w:rsid w:val="004052EE"/>
    <w:rsid w:val="004058BE"/>
    <w:rsid w:val="004072DD"/>
    <w:rsid w:val="004078E4"/>
    <w:rsid w:val="00407A56"/>
    <w:rsid w:val="00413D53"/>
    <w:rsid w:val="00414129"/>
    <w:rsid w:val="0041468B"/>
    <w:rsid w:val="00415816"/>
    <w:rsid w:val="00416BC4"/>
    <w:rsid w:val="00422460"/>
    <w:rsid w:val="00422AA2"/>
    <w:rsid w:val="004230A5"/>
    <w:rsid w:val="0042423D"/>
    <w:rsid w:val="00424FBD"/>
    <w:rsid w:val="00425717"/>
    <w:rsid w:val="004263B3"/>
    <w:rsid w:val="00426CF7"/>
    <w:rsid w:val="004305FA"/>
    <w:rsid w:val="00430B47"/>
    <w:rsid w:val="00430DBD"/>
    <w:rsid w:val="00431616"/>
    <w:rsid w:val="0043167E"/>
    <w:rsid w:val="004363C9"/>
    <w:rsid w:val="004377D2"/>
    <w:rsid w:val="00437950"/>
    <w:rsid w:val="00437B30"/>
    <w:rsid w:val="00437F18"/>
    <w:rsid w:val="004402B1"/>
    <w:rsid w:val="00440E2A"/>
    <w:rsid w:val="004428EF"/>
    <w:rsid w:val="00442F93"/>
    <w:rsid w:val="00444183"/>
    <w:rsid w:val="0044456B"/>
    <w:rsid w:val="00444686"/>
    <w:rsid w:val="00445FB8"/>
    <w:rsid w:val="004467B7"/>
    <w:rsid w:val="00446D51"/>
    <w:rsid w:val="00446E42"/>
    <w:rsid w:val="004479F0"/>
    <w:rsid w:val="00450474"/>
    <w:rsid w:val="00451F0A"/>
    <w:rsid w:val="004526B5"/>
    <w:rsid w:val="004528D9"/>
    <w:rsid w:val="00452C1B"/>
    <w:rsid w:val="00453A40"/>
    <w:rsid w:val="00455F20"/>
    <w:rsid w:val="00456EA4"/>
    <w:rsid w:val="00457500"/>
    <w:rsid w:val="00457A97"/>
    <w:rsid w:val="004605E3"/>
    <w:rsid w:val="00461397"/>
    <w:rsid w:val="00462D2B"/>
    <w:rsid w:val="00463551"/>
    <w:rsid w:val="00463807"/>
    <w:rsid w:val="00464F69"/>
    <w:rsid w:val="00465A80"/>
    <w:rsid w:val="004667C0"/>
    <w:rsid w:val="00466E6E"/>
    <w:rsid w:val="0046766E"/>
    <w:rsid w:val="00472406"/>
    <w:rsid w:val="00474DFD"/>
    <w:rsid w:val="00476309"/>
    <w:rsid w:val="0047687A"/>
    <w:rsid w:val="00477F66"/>
    <w:rsid w:val="00480128"/>
    <w:rsid w:val="0048092E"/>
    <w:rsid w:val="00480B3A"/>
    <w:rsid w:val="00480F59"/>
    <w:rsid w:val="0048332C"/>
    <w:rsid w:val="0048392F"/>
    <w:rsid w:val="00486DC7"/>
    <w:rsid w:val="004873CB"/>
    <w:rsid w:val="004903DF"/>
    <w:rsid w:val="00490EDD"/>
    <w:rsid w:val="004930DB"/>
    <w:rsid w:val="00493623"/>
    <w:rsid w:val="004938A1"/>
    <w:rsid w:val="00495037"/>
    <w:rsid w:val="00497FF7"/>
    <w:rsid w:val="004A0D26"/>
    <w:rsid w:val="004A15B8"/>
    <w:rsid w:val="004A5633"/>
    <w:rsid w:val="004A59B1"/>
    <w:rsid w:val="004A5CA0"/>
    <w:rsid w:val="004A6DA4"/>
    <w:rsid w:val="004A7841"/>
    <w:rsid w:val="004A7B2C"/>
    <w:rsid w:val="004B0352"/>
    <w:rsid w:val="004B0B8A"/>
    <w:rsid w:val="004B0E2F"/>
    <w:rsid w:val="004B0F53"/>
    <w:rsid w:val="004B119F"/>
    <w:rsid w:val="004B297F"/>
    <w:rsid w:val="004B375F"/>
    <w:rsid w:val="004B3B7B"/>
    <w:rsid w:val="004B3DBD"/>
    <w:rsid w:val="004B4E57"/>
    <w:rsid w:val="004B5E87"/>
    <w:rsid w:val="004B6054"/>
    <w:rsid w:val="004B6789"/>
    <w:rsid w:val="004B72E8"/>
    <w:rsid w:val="004B7737"/>
    <w:rsid w:val="004B7C56"/>
    <w:rsid w:val="004C0D09"/>
    <w:rsid w:val="004C0E31"/>
    <w:rsid w:val="004C1F0A"/>
    <w:rsid w:val="004C2FEC"/>
    <w:rsid w:val="004C307D"/>
    <w:rsid w:val="004C31A9"/>
    <w:rsid w:val="004C3688"/>
    <w:rsid w:val="004C4790"/>
    <w:rsid w:val="004C4E09"/>
    <w:rsid w:val="004C7E37"/>
    <w:rsid w:val="004D087A"/>
    <w:rsid w:val="004D1F8F"/>
    <w:rsid w:val="004D2EB3"/>
    <w:rsid w:val="004D6837"/>
    <w:rsid w:val="004E0F1D"/>
    <w:rsid w:val="004E0FD8"/>
    <w:rsid w:val="004E414E"/>
    <w:rsid w:val="004E6155"/>
    <w:rsid w:val="004E6251"/>
    <w:rsid w:val="004E7AB5"/>
    <w:rsid w:val="004F1963"/>
    <w:rsid w:val="004F22C6"/>
    <w:rsid w:val="004F3D85"/>
    <w:rsid w:val="004F3F9F"/>
    <w:rsid w:val="004F6832"/>
    <w:rsid w:val="004F7FCE"/>
    <w:rsid w:val="005000B2"/>
    <w:rsid w:val="0050170C"/>
    <w:rsid w:val="005017FF"/>
    <w:rsid w:val="0050233A"/>
    <w:rsid w:val="005034E6"/>
    <w:rsid w:val="005047E4"/>
    <w:rsid w:val="00505137"/>
    <w:rsid w:val="00506561"/>
    <w:rsid w:val="00506EA2"/>
    <w:rsid w:val="005107A8"/>
    <w:rsid w:val="00510CD1"/>
    <w:rsid w:val="00513E1F"/>
    <w:rsid w:val="00514318"/>
    <w:rsid w:val="005149ED"/>
    <w:rsid w:val="005154A2"/>
    <w:rsid w:val="00516B26"/>
    <w:rsid w:val="00516B37"/>
    <w:rsid w:val="00517D14"/>
    <w:rsid w:val="00517DBC"/>
    <w:rsid w:val="0052015D"/>
    <w:rsid w:val="00520A35"/>
    <w:rsid w:val="00521055"/>
    <w:rsid w:val="005211C7"/>
    <w:rsid w:val="00522A12"/>
    <w:rsid w:val="00524DF8"/>
    <w:rsid w:val="00525094"/>
    <w:rsid w:val="00525724"/>
    <w:rsid w:val="00525D06"/>
    <w:rsid w:val="00526290"/>
    <w:rsid w:val="00526B62"/>
    <w:rsid w:val="0052772A"/>
    <w:rsid w:val="005277F3"/>
    <w:rsid w:val="00530278"/>
    <w:rsid w:val="0053061D"/>
    <w:rsid w:val="005315E6"/>
    <w:rsid w:val="00534100"/>
    <w:rsid w:val="0053439C"/>
    <w:rsid w:val="00536E47"/>
    <w:rsid w:val="00542682"/>
    <w:rsid w:val="00542A56"/>
    <w:rsid w:val="00543BAF"/>
    <w:rsid w:val="00544DBA"/>
    <w:rsid w:val="00545B03"/>
    <w:rsid w:val="0054633E"/>
    <w:rsid w:val="00546DDD"/>
    <w:rsid w:val="00547D07"/>
    <w:rsid w:val="005503F6"/>
    <w:rsid w:val="0055140C"/>
    <w:rsid w:val="005521F3"/>
    <w:rsid w:val="00553095"/>
    <w:rsid w:val="00553ADD"/>
    <w:rsid w:val="005549AD"/>
    <w:rsid w:val="005557E9"/>
    <w:rsid w:val="005562BE"/>
    <w:rsid w:val="00563462"/>
    <w:rsid w:val="00564A0B"/>
    <w:rsid w:val="0056544C"/>
    <w:rsid w:val="00566835"/>
    <w:rsid w:val="005672FE"/>
    <w:rsid w:val="005677AF"/>
    <w:rsid w:val="00570100"/>
    <w:rsid w:val="00570A8F"/>
    <w:rsid w:val="00570F0C"/>
    <w:rsid w:val="0057189D"/>
    <w:rsid w:val="00571FF7"/>
    <w:rsid w:val="005730C3"/>
    <w:rsid w:val="005730D7"/>
    <w:rsid w:val="00573786"/>
    <w:rsid w:val="0058016F"/>
    <w:rsid w:val="00580859"/>
    <w:rsid w:val="00580B86"/>
    <w:rsid w:val="005810F2"/>
    <w:rsid w:val="00581FD1"/>
    <w:rsid w:val="00583D68"/>
    <w:rsid w:val="00586C73"/>
    <w:rsid w:val="0058723C"/>
    <w:rsid w:val="00587DD7"/>
    <w:rsid w:val="00591967"/>
    <w:rsid w:val="005946C0"/>
    <w:rsid w:val="00594AA6"/>
    <w:rsid w:val="005961A0"/>
    <w:rsid w:val="005A0055"/>
    <w:rsid w:val="005A06B5"/>
    <w:rsid w:val="005A1204"/>
    <w:rsid w:val="005A17F3"/>
    <w:rsid w:val="005A238A"/>
    <w:rsid w:val="005A2629"/>
    <w:rsid w:val="005A32E8"/>
    <w:rsid w:val="005A3441"/>
    <w:rsid w:val="005A35B8"/>
    <w:rsid w:val="005A38FB"/>
    <w:rsid w:val="005A3F4D"/>
    <w:rsid w:val="005A5DCA"/>
    <w:rsid w:val="005A621A"/>
    <w:rsid w:val="005B1EB1"/>
    <w:rsid w:val="005B250E"/>
    <w:rsid w:val="005B4DB0"/>
    <w:rsid w:val="005B5059"/>
    <w:rsid w:val="005B5883"/>
    <w:rsid w:val="005B7724"/>
    <w:rsid w:val="005C1E8B"/>
    <w:rsid w:val="005C2091"/>
    <w:rsid w:val="005C44DA"/>
    <w:rsid w:val="005C4D39"/>
    <w:rsid w:val="005C56CC"/>
    <w:rsid w:val="005C5AD8"/>
    <w:rsid w:val="005C5D59"/>
    <w:rsid w:val="005C6751"/>
    <w:rsid w:val="005C785D"/>
    <w:rsid w:val="005C7D7E"/>
    <w:rsid w:val="005D1940"/>
    <w:rsid w:val="005D22BA"/>
    <w:rsid w:val="005D2341"/>
    <w:rsid w:val="005D471B"/>
    <w:rsid w:val="005D4B12"/>
    <w:rsid w:val="005D5B33"/>
    <w:rsid w:val="005D7378"/>
    <w:rsid w:val="005E03FE"/>
    <w:rsid w:val="005E08A0"/>
    <w:rsid w:val="005E116C"/>
    <w:rsid w:val="005E4E1D"/>
    <w:rsid w:val="005E51BA"/>
    <w:rsid w:val="005E53A4"/>
    <w:rsid w:val="005E5B5E"/>
    <w:rsid w:val="005E77F8"/>
    <w:rsid w:val="005F0903"/>
    <w:rsid w:val="005F0C91"/>
    <w:rsid w:val="005F10F8"/>
    <w:rsid w:val="005F1E50"/>
    <w:rsid w:val="005F1FD5"/>
    <w:rsid w:val="005F21F1"/>
    <w:rsid w:val="005F2477"/>
    <w:rsid w:val="005F26A2"/>
    <w:rsid w:val="005F33DD"/>
    <w:rsid w:val="005F41F0"/>
    <w:rsid w:val="005F595A"/>
    <w:rsid w:val="005F5AFD"/>
    <w:rsid w:val="005F619F"/>
    <w:rsid w:val="005F7AED"/>
    <w:rsid w:val="006002A1"/>
    <w:rsid w:val="0060115F"/>
    <w:rsid w:val="00602E74"/>
    <w:rsid w:val="00603967"/>
    <w:rsid w:val="00603D73"/>
    <w:rsid w:val="006045A1"/>
    <w:rsid w:val="00604794"/>
    <w:rsid w:val="006052ED"/>
    <w:rsid w:val="006116DC"/>
    <w:rsid w:val="00614C4D"/>
    <w:rsid w:val="006150C2"/>
    <w:rsid w:val="00615228"/>
    <w:rsid w:val="0061571F"/>
    <w:rsid w:val="006165F6"/>
    <w:rsid w:val="00616D11"/>
    <w:rsid w:val="00617C14"/>
    <w:rsid w:val="00620C65"/>
    <w:rsid w:val="00623CD2"/>
    <w:rsid w:val="00624F4A"/>
    <w:rsid w:val="00630CBF"/>
    <w:rsid w:val="006319DC"/>
    <w:rsid w:val="00631C8B"/>
    <w:rsid w:val="006339B9"/>
    <w:rsid w:val="006342F4"/>
    <w:rsid w:val="00635064"/>
    <w:rsid w:val="00636ABC"/>
    <w:rsid w:val="00637EFB"/>
    <w:rsid w:val="006400E1"/>
    <w:rsid w:val="00640BD5"/>
    <w:rsid w:val="00640F57"/>
    <w:rsid w:val="00641DAB"/>
    <w:rsid w:val="00642BA5"/>
    <w:rsid w:val="00643917"/>
    <w:rsid w:val="00643AF3"/>
    <w:rsid w:val="00643D1E"/>
    <w:rsid w:val="00645BEF"/>
    <w:rsid w:val="00646671"/>
    <w:rsid w:val="006504AA"/>
    <w:rsid w:val="00650A93"/>
    <w:rsid w:val="00650C48"/>
    <w:rsid w:val="0065149E"/>
    <w:rsid w:val="00651AEE"/>
    <w:rsid w:val="006530F0"/>
    <w:rsid w:val="0065343C"/>
    <w:rsid w:val="00655B98"/>
    <w:rsid w:val="006570FF"/>
    <w:rsid w:val="00657B98"/>
    <w:rsid w:val="006600B2"/>
    <w:rsid w:val="00661FD0"/>
    <w:rsid w:val="006636CF"/>
    <w:rsid w:val="00663C4D"/>
    <w:rsid w:val="006665E9"/>
    <w:rsid w:val="006667BC"/>
    <w:rsid w:val="006713EC"/>
    <w:rsid w:val="00671B91"/>
    <w:rsid w:val="00672411"/>
    <w:rsid w:val="00672429"/>
    <w:rsid w:val="00675EF9"/>
    <w:rsid w:val="00676521"/>
    <w:rsid w:val="006778C2"/>
    <w:rsid w:val="00677EEE"/>
    <w:rsid w:val="006835FC"/>
    <w:rsid w:val="00684B02"/>
    <w:rsid w:val="00685A7A"/>
    <w:rsid w:val="00685BF8"/>
    <w:rsid w:val="00686C83"/>
    <w:rsid w:val="00687D3E"/>
    <w:rsid w:val="00690056"/>
    <w:rsid w:val="00690CF1"/>
    <w:rsid w:val="00690E5C"/>
    <w:rsid w:val="00693C79"/>
    <w:rsid w:val="00696293"/>
    <w:rsid w:val="00696384"/>
    <w:rsid w:val="00697544"/>
    <w:rsid w:val="00697E49"/>
    <w:rsid w:val="006A070D"/>
    <w:rsid w:val="006A07AE"/>
    <w:rsid w:val="006A0A46"/>
    <w:rsid w:val="006A1831"/>
    <w:rsid w:val="006A1A98"/>
    <w:rsid w:val="006A1ADB"/>
    <w:rsid w:val="006A2521"/>
    <w:rsid w:val="006A321D"/>
    <w:rsid w:val="006A3B43"/>
    <w:rsid w:val="006A3B74"/>
    <w:rsid w:val="006A5AFB"/>
    <w:rsid w:val="006A5C36"/>
    <w:rsid w:val="006A5C4C"/>
    <w:rsid w:val="006A5DB0"/>
    <w:rsid w:val="006B1D7B"/>
    <w:rsid w:val="006B1E30"/>
    <w:rsid w:val="006B3F13"/>
    <w:rsid w:val="006B53B6"/>
    <w:rsid w:val="006B64D3"/>
    <w:rsid w:val="006B65C1"/>
    <w:rsid w:val="006C0767"/>
    <w:rsid w:val="006C0BCB"/>
    <w:rsid w:val="006C2818"/>
    <w:rsid w:val="006C47D4"/>
    <w:rsid w:val="006C753B"/>
    <w:rsid w:val="006C7BD6"/>
    <w:rsid w:val="006D2D46"/>
    <w:rsid w:val="006D33EB"/>
    <w:rsid w:val="006D48A6"/>
    <w:rsid w:val="006D515B"/>
    <w:rsid w:val="006D6ACB"/>
    <w:rsid w:val="006D74A6"/>
    <w:rsid w:val="006D77CE"/>
    <w:rsid w:val="006D7E17"/>
    <w:rsid w:val="006E056F"/>
    <w:rsid w:val="006E0D38"/>
    <w:rsid w:val="006E3C60"/>
    <w:rsid w:val="006E4237"/>
    <w:rsid w:val="006E42CB"/>
    <w:rsid w:val="006E4BFD"/>
    <w:rsid w:val="006E4EDD"/>
    <w:rsid w:val="006E5416"/>
    <w:rsid w:val="006E5511"/>
    <w:rsid w:val="006E5A97"/>
    <w:rsid w:val="006E6A24"/>
    <w:rsid w:val="006E6B1B"/>
    <w:rsid w:val="006E6DD5"/>
    <w:rsid w:val="006E713B"/>
    <w:rsid w:val="006F1303"/>
    <w:rsid w:val="006F1BB3"/>
    <w:rsid w:val="006F1F00"/>
    <w:rsid w:val="006F3032"/>
    <w:rsid w:val="006F3C34"/>
    <w:rsid w:val="006F4944"/>
    <w:rsid w:val="006F695C"/>
    <w:rsid w:val="006F6FC5"/>
    <w:rsid w:val="006F7216"/>
    <w:rsid w:val="00700335"/>
    <w:rsid w:val="0070060B"/>
    <w:rsid w:val="00701CF8"/>
    <w:rsid w:val="00701D1A"/>
    <w:rsid w:val="00703241"/>
    <w:rsid w:val="00705EEC"/>
    <w:rsid w:val="007060A5"/>
    <w:rsid w:val="00707EB9"/>
    <w:rsid w:val="00710238"/>
    <w:rsid w:val="00710BA9"/>
    <w:rsid w:val="00711D5F"/>
    <w:rsid w:val="0071305D"/>
    <w:rsid w:val="00713A44"/>
    <w:rsid w:val="0071444F"/>
    <w:rsid w:val="00714935"/>
    <w:rsid w:val="00714C1C"/>
    <w:rsid w:val="00715380"/>
    <w:rsid w:val="00715797"/>
    <w:rsid w:val="007169E1"/>
    <w:rsid w:val="0071732A"/>
    <w:rsid w:val="00717805"/>
    <w:rsid w:val="00717921"/>
    <w:rsid w:val="0072146C"/>
    <w:rsid w:val="007234D0"/>
    <w:rsid w:val="0072416A"/>
    <w:rsid w:val="00724962"/>
    <w:rsid w:val="00724DBA"/>
    <w:rsid w:val="007302E7"/>
    <w:rsid w:val="00730B01"/>
    <w:rsid w:val="007319B5"/>
    <w:rsid w:val="007323E4"/>
    <w:rsid w:val="007325E2"/>
    <w:rsid w:val="00732CB4"/>
    <w:rsid w:val="007339A2"/>
    <w:rsid w:val="00733B5F"/>
    <w:rsid w:val="007343BF"/>
    <w:rsid w:val="0073497E"/>
    <w:rsid w:val="00734A32"/>
    <w:rsid w:val="00734D1B"/>
    <w:rsid w:val="0073625D"/>
    <w:rsid w:val="00736E7A"/>
    <w:rsid w:val="00736F48"/>
    <w:rsid w:val="00740F42"/>
    <w:rsid w:val="0074394D"/>
    <w:rsid w:val="007449A2"/>
    <w:rsid w:val="00745581"/>
    <w:rsid w:val="007459A4"/>
    <w:rsid w:val="00750915"/>
    <w:rsid w:val="00750CB1"/>
    <w:rsid w:val="007516C9"/>
    <w:rsid w:val="00751DFF"/>
    <w:rsid w:val="007528C5"/>
    <w:rsid w:val="00753A6A"/>
    <w:rsid w:val="00754338"/>
    <w:rsid w:val="00755371"/>
    <w:rsid w:val="00756197"/>
    <w:rsid w:val="00756FEE"/>
    <w:rsid w:val="00761530"/>
    <w:rsid w:val="00762478"/>
    <w:rsid w:val="00763776"/>
    <w:rsid w:val="00763F93"/>
    <w:rsid w:val="007645C7"/>
    <w:rsid w:val="00764658"/>
    <w:rsid w:val="007653A4"/>
    <w:rsid w:val="00766A09"/>
    <w:rsid w:val="0077035D"/>
    <w:rsid w:val="0077274A"/>
    <w:rsid w:val="00773B66"/>
    <w:rsid w:val="0077451E"/>
    <w:rsid w:val="00774A9E"/>
    <w:rsid w:val="00774EFE"/>
    <w:rsid w:val="00780E16"/>
    <w:rsid w:val="00780EB8"/>
    <w:rsid w:val="00781054"/>
    <w:rsid w:val="0078188F"/>
    <w:rsid w:val="0078327F"/>
    <w:rsid w:val="007834AB"/>
    <w:rsid w:val="00783851"/>
    <w:rsid w:val="00783FD9"/>
    <w:rsid w:val="007879F2"/>
    <w:rsid w:val="00787AE7"/>
    <w:rsid w:val="00791003"/>
    <w:rsid w:val="007912EA"/>
    <w:rsid w:val="00792718"/>
    <w:rsid w:val="00794A87"/>
    <w:rsid w:val="007964EE"/>
    <w:rsid w:val="007970C2"/>
    <w:rsid w:val="007A05FC"/>
    <w:rsid w:val="007A065F"/>
    <w:rsid w:val="007A09DE"/>
    <w:rsid w:val="007A35BF"/>
    <w:rsid w:val="007A39B6"/>
    <w:rsid w:val="007A4484"/>
    <w:rsid w:val="007A5F2A"/>
    <w:rsid w:val="007A6443"/>
    <w:rsid w:val="007A698D"/>
    <w:rsid w:val="007B0961"/>
    <w:rsid w:val="007B161E"/>
    <w:rsid w:val="007B19E2"/>
    <w:rsid w:val="007B1D24"/>
    <w:rsid w:val="007B2A74"/>
    <w:rsid w:val="007B399E"/>
    <w:rsid w:val="007B401D"/>
    <w:rsid w:val="007B4102"/>
    <w:rsid w:val="007B582C"/>
    <w:rsid w:val="007C0A9B"/>
    <w:rsid w:val="007C22D3"/>
    <w:rsid w:val="007C39F1"/>
    <w:rsid w:val="007C4A71"/>
    <w:rsid w:val="007C5340"/>
    <w:rsid w:val="007C67ED"/>
    <w:rsid w:val="007C7294"/>
    <w:rsid w:val="007D0039"/>
    <w:rsid w:val="007D1333"/>
    <w:rsid w:val="007D215B"/>
    <w:rsid w:val="007D2C3E"/>
    <w:rsid w:val="007D430E"/>
    <w:rsid w:val="007D4A9E"/>
    <w:rsid w:val="007D5C1A"/>
    <w:rsid w:val="007D79BB"/>
    <w:rsid w:val="007D7EFD"/>
    <w:rsid w:val="007E07F9"/>
    <w:rsid w:val="007E1D37"/>
    <w:rsid w:val="007E1FFE"/>
    <w:rsid w:val="007E22E4"/>
    <w:rsid w:val="007E275E"/>
    <w:rsid w:val="007E2877"/>
    <w:rsid w:val="007E37ED"/>
    <w:rsid w:val="007E43A9"/>
    <w:rsid w:val="007E499B"/>
    <w:rsid w:val="007E6F21"/>
    <w:rsid w:val="007F025B"/>
    <w:rsid w:val="007F055B"/>
    <w:rsid w:val="007F0DA6"/>
    <w:rsid w:val="007F1307"/>
    <w:rsid w:val="007F52B4"/>
    <w:rsid w:val="007F5EB0"/>
    <w:rsid w:val="007F5F28"/>
    <w:rsid w:val="007F6C67"/>
    <w:rsid w:val="00801A35"/>
    <w:rsid w:val="0080330F"/>
    <w:rsid w:val="00803DC7"/>
    <w:rsid w:val="00806AE8"/>
    <w:rsid w:val="008075E9"/>
    <w:rsid w:val="008079A0"/>
    <w:rsid w:val="00810211"/>
    <w:rsid w:val="00810B87"/>
    <w:rsid w:val="00810CD2"/>
    <w:rsid w:val="0081198D"/>
    <w:rsid w:val="008124C4"/>
    <w:rsid w:val="0081300A"/>
    <w:rsid w:val="00817141"/>
    <w:rsid w:val="00823877"/>
    <w:rsid w:val="00823CC9"/>
    <w:rsid w:val="00824073"/>
    <w:rsid w:val="00824A26"/>
    <w:rsid w:val="00824E8D"/>
    <w:rsid w:val="00830121"/>
    <w:rsid w:val="0083067B"/>
    <w:rsid w:val="00832933"/>
    <w:rsid w:val="00832DA8"/>
    <w:rsid w:val="0083334D"/>
    <w:rsid w:val="00834E63"/>
    <w:rsid w:val="008351BC"/>
    <w:rsid w:val="00840028"/>
    <w:rsid w:val="0084076D"/>
    <w:rsid w:val="00842D3F"/>
    <w:rsid w:val="00843B4E"/>
    <w:rsid w:val="00845AD5"/>
    <w:rsid w:val="00845F11"/>
    <w:rsid w:val="008501E6"/>
    <w:rsid w:val="0085094E"/>
    <w:rsid w:val="00850973"/>
    <w:rsid w:val="0085360A"/>
    <w:rsid w:val="00853FDA"/>
    <w:rsid w:val="00854C46"/>
    <w:rsid w:val="008554EB"/>
    <w:rsid w:val="00856BCB"/>
    <w:rsid w:val="0086035E"/>
    <w:rsid w:val="0086086A"/>
    <w:rsid w:val="00860948"/>
    <w:rsid w:val="008620B6"/>
    <w:rsid w:val="00862BF9"/>
    <w:rsid w:val="008636D8"/>
    <w:rsid w:val="00865591"/>
    <w:rsid w:val="00865B97"/>
    <w:rsid w:val="00867857"/>
    <w:rsid w:val="00871C94"/>
    <w:rsid w:val="008728C7"/>
    <w:rsid w:val="008730D6"/>
    <w:rsid w:val="0087390F"/>
    <w:rsid w:val="00873A7C"/>
    <w:rsid w:val="00873B64"/>
    <w:rsid w:val="00875964"/>
    <w:rsid w:val="00876383"/>
    <w:rsid w:val="0087715D"/>
    <w:rsid w:val="00877B5E"/>
    <w:rsid w:val="00880183"/>
    <w:rsid w:val="00880544"/>
    <w:rsid w:val="008805F0"/>
    <w:rsid w:val="00881232"/>
    <w:rsid w:val="00882757"/>
    <w:rsid w:val="0088520E"/>
    <w:rsid w:val="00886D71"/>
    <w:rsid w:val="00887984"/>
    <w:rsid w:val="0089027B"/>
    <w:rsid w:val="00890419"/>
    <w:rsid w:val="00890AE1"/>
    <w:rsid w:val="008925D1"/>
    <w:rsid w:val="008926CD"/>
    <w:rsid w:val="00893ACA"/>
    <w:rsid w:val="00895375"/>
    <w:rsid w:val="0089599D"/>
    <w:rsid w:val="00895D54"/>
    <w:rsid w:val="00895E07"/>
    <w:rsid w:val="00896191"/>
    <w:rsid w:val="00896D04"/>
    <w:rsid w:val="00897D68"/>
    <w:rsid w:val="008A130A"/>
    <w:rsid w:val="008A1F12"/>
    <w:rsid w:val="008A20CE"/>
    <w:rsid w:val="008A3667"/>
    <w:rsid w:val="008A5D3D"/>
    <w:rsid w:val="008A5EC9"/>
    <w:rsid w:val="008B0F1E"/>
    <w:rsid w:val="008B14A5"/>
    <w:rsid w:val="008B2BAE"/>
    <w:rsid w:val="008B31EE"/>
    <w:rsid w:val="008B44C7"/>
    <w:rsid w:val="008B52E2"/>
    <w:rsid w:val="008B53F9"/>
    <w:rsid w:val="008B5C9A"/>
    <w:rsid w:val="008B5E25"/>
    <w:rsid w:val="008B7783"/>
    <w:rsid w:val="008C1EBC"/>
    <w:rsid w:val="008C6432"/>
    <w:rsid w:val="008D0549"/>
    <w:rsid w:val="008D2F51"/>
    <w:rsid w:val="008D3FC4"/>
    <w:rsid w:val="008D4720"/>
    <w:rsid w:val="008D5AB2"/>
    <w:rsid w:val="008D5E08"/>
    <w:rsid w:val="008D79B1"/>
    <w:rsid w:val="008D7A06"/>
    <w:rsid w:val="008E1A0A"/>
    <w:rsid w:val="008E219F"/>
    <w:rsid w:val="008E260F"/>
    <w:rsid w:val="008E3EF6"/>
    <w:rsid w:val="008E4433"/>
    <w:rsid w:val="008E645A"/>
    <w:rsid w:val="008F04C9"/>
    <w:rsid w:val="008F0BBF"/>
    <w:rsid w:val="008F1E59"/>
    <w:rsid w:val="008F2235"/>
    <w:rsid w:val="008F43A9"/>
    <w:rsid w:val="008F5C33"/>
    <w:rsid w:val="008F5C81"/>
    <w:rsid w:val="008F5C84"/>
    <w:rsid w:val="008F751D"/>
    <w:rsid w:val="008F7E77"/>
    <w:rsid w:val="00901DD3"/>
    <w:rsid w:val="0090200C"/>
    <w:rsid w:val="0090261C"/>
    <w:rsid w:val="00902753"/>
    <w:rsid w:val="00903307"/>
    <w:rsid w:val="00903D07"/>
    <w:rsid w:val="00904523"/>
    <w:rsid w:val="00904D6A"/>
    <w:rsid w:val="0090551B"/>
    <w:rsid w:val="00907EDD"/>
    <w:rsid w:val="00911882"/>
    <w:rsid w:val="0091517C"/>
    <w:rsid w:val="009159F1"/>
    <w:rsid w:val="00915AC3"/>
    <w:rsid w:val="00915B99"/>
    <w:rsid w:val="00915D9A"/>
    <w:rsid w:val="00915DA2"/>
    <w:rsid w:val="00916B85"/>
    <w:rsid w:val="009172B0"/>
    <w:rsid w:val="00917B42"/>
    <w:rsid w:val="009205EF"/>
    <w:rsid w:val="0092100A"/>
    <w:rsid w:val="0092154A"/>
    <w:rsid w:val="00921C36"/>
    <w:rsid w:val="0092235A"/>
    <w:rsid w:val="00922A8B"/>
    <w:rsid w:val="00922B5F"/>
    <w:rsid w:val="009246FB"/>
    <w:rsid w:val="0092485D"/>
    <w:rsid w:val="00924D32"/>
    <w:rsid w:val="00925712"/>
    <w:rsid w:val="009267D9"/>
    <w:rsid w:val="00927255"/>
    <w:rsid w:val="009305A6"/>
    <w:rsid w:val="00931556"/>
    <w:rsid w:val="00932572"/>
    <w:rsid w:val="009332E3"/>
    <w:rsid w:val="00933A5C"/>
    <w:rsid w:val="0093661C"/>
    <w:rsid w:val="00944581"/>
    <w:rsid w:val="0094652F"/>
    <w:rsid w:val="00946C6F"/>
    <w:rsid w:val="00946F09"/>
    <w:rsid w:val="0094797C"/>
    <w:rsid w:val="00950376"/>
    <w:rsid w:val="00951AF7"/>
    <w:rsid w:val="00951E14"/>
    <w:rsid w:val="00951E34"/>
    <w:rsid w:val="00953DD4"/>
    <w:rsid w:val="00956FCB"/>
    <w:rsid w:val="0095779B"/>
    <w:rsid w:val="009603AF"/>
    <w:rsid w:val="009608A2"/>
    <w:rsid w:val="009610B5"/>
    <w:rsid w:val="00961BAD"/>
    <w:rsid w:val="00962F59"/>
    <w:rsid w:val="009637FA"/>
    <w:rsid w:val="00965A65"/>
    <w:rsid w:val="0096628A"/>
    <w:rsid w:val="009702CE"/>
    <w:rsid w:val="0097090A"/>
    <w:rsid w:val="00972199"/>
    <w:rsid w:val="009722E1"/>
    <w:rsid w:val="00972D08"/>
    <w:rsid w:val="00973480"/>
    <w:rsid w:val="009738AD"/>
    <w:rsid w:val="00974D7B"/>
    <w:rsid w:val="009754A8"/>
    <w:rsid w:val="00975F9F"/>
    <w:rsid w:val="0097693F"/>
    <w:rsid w:val="0098048C"/>
    <w:rsid w:val="00981B99"/>
    <w:rsid w:val="0098252C"/>
    <w:rsid w:val="00986402"/>
    <w:rsid w:val="00986EC8"/>
    <w:rsid w:val="00987422"/>
    <w:rsid w:val="0099063A"/>
    <w:rsid w:val="00991CF2"/>
    <w:rsid w:val="00992A53"/>
    <w:rsid w:val="00993116"/>
    <w:rsid w:val="00994148"/>
    <w:rsid w:val="0099484F"/>
    <w:rsid w:val="00995158"/>
    <w:rsid w:val="00995C15"/>
    <w:rsid w:val="00997544"/>
    <w:rsid w:val="00997DD8"/>
    <w:rsid w:val="009A178D"/>
    <w:rsid w:val="009A17AB"/>
    <w:rsid w:val="009A2488"/>
    <w:rsid w:val="009A28FF"/>
    <w:rsid w:val="009A2F99"/>
    <w:rsid w:val="009A4F81"/>
    <w:rsid w:val="009A6E4E"/>
    <w:rsid w:val="009A7900"/>
    <w:rsid w:val="009B23A7"/>
    <w:rsid w:val="009B2BA5"/>
    <w:rsid w:val="009B4F67"/>
    <w:rsid w:val="009B58D3"/>
    <w:rsid w:val="009B6061"/>
    <w:rsid w:val="009B68E0"/>
    <w:rsid w:val="009B6BD6"/>
    <w:rsid w:val="009B6C6B"/>
    <w:rsid w:val="009C0EB1"/>
    <w:rsid w:val="009C10C3"/>
    <w:rsid w:val="009C1CE3"/>
    <w:rsid w:val="009C27E0"/>
    <w:rsid w:val="009C2A14"/>
    <w:rsid w:val="009C7C95"/>
    <w:rsid w:val="009C7E36"/>
    <w:rsid w:val="009D0189"/>
    <w:rsid w:val="009D1310"/>
    <w:rsid w:val="009D20A4"/>
    <w:rsid w:val="009D2F15"/>
    <w:rsid w:val="009D3223"/>
    <w:rsid w:val="009D3B64"/>
    <w:rsid w:val="009D49EB"/>
    <w:rsid w:val="009D4EFD"/>
    <w:rsid w:val="009D7F97"/>
    <w:rsid w:val="009E0DE5"/>
    <w:rsid w:val="009E2913"/>
    <w:rsid w:val="009E3F99"/>
    <w:rsid w:val="009E547C"/>
    <w:rsid w:val="009E5695"/>
    <w:rsid w:val="009E6276"/>
    <w:rsid w:val="009E650D"/>
    <w:rsid w:val="009E6CAF"/>
    <w:rsid w:val="009F10B3"/>
    <w:rsid w:val="009F14D7"/>
    <w:rsid w:val="009F1969"/>
    <w:rsid w:val="009F1C97"/>
    <w:rsid w:val="009F2536"/>
    <w:rsid w:val="009F338D"/>
    <w:rsid w:val="009F3A38"/>
    <w:rsid w:val="009F44FF"/>
    <w:rsid w:val="009F6422"/>
    <w:rsid w:val="009F6676"/>
    <w:rsid w:val="009F765D"/>
    <w:rsid w:val="009F76D1"/>
    <w:rsid w:val="00A01635"/>
    <w:rsid w:val="00A01EFA"/>
    <w:rsid w:val="00A02730"/>
    <w:rsid w:val="00A036C2"/>
    <w:rsid w:val="00A05C09"/>
    <w:rsid w:val="00A05EBE"/>
    <w:rsid w:val="00A05F7E"/>
    <w:rsid w:val="00A06B84"/>
    <w:rsid w:val="00A07025"/>
    <w:rsid w:val="00A07163"/>
    <w:rsid w:val="00A07617"/>
    <w:rsid w:val="00A07CB1"/>
    <w:rsid w:val="00A07E9F"/>
    <w:rsid w:val="00A100A3"/>
    <w:rsid w:val="00A107D7"/>
    <w:rsid w:val="00A12F15"/>
    <w:rsid w:val="00A1722F"/>
    <w:rsid w:val="00A20B93"/>
    <w:rsid w:val="00A216DD"/>
    <w:rsid w:val="00A21712"/>
    <w:rsid w:val="00A240FE"/>
    <w:rsid w:val="00A24C01"/>
    <w:rsid w:val="00A2570E"/>
    <w:rsid w:val="00A27C45"/>
    <w:rsid w:val="00A30270"/>
    <w:rsid w:val="00A32750"/>
    <w:rsid w:val="00A32E3F"/>
    <w:rsid w:val="00A33682"/>
    <w:rsid w:val="00A34317"/>
    <w:rsid w:val="00A367CE"/>
    <w:rsid w:val="00A373E1"/>
    <w:rsid w:val="00A37A2C"/>
    <w:rsid w:val="00A37FEF"/>
    <w:rsid w:val="00A40FDC"/>
    <w:rsid w:val="00A43B9F"/>
    <w:rsid w:val="00A4505D"/>
    <w:rsid w:val="00A4561A"/>
    <w:rsid w:val="00A45E83"/>
    <w:rsid w:val="00A4606C"/>
    <w:rsid w:val="00A46DAC"/>
    <w:rsid w:val="00A47602"/>
    <w:rsid w:val="00A50084"/>
    <w:rsid w:val="00A504B3"/>
    <w:rsid w:val="00A50804"/>
    <w:rsid w:val="00A50C94"/>
    <w:rsid w:val="00A52E80"/>
    <w:rsid w:val="00A551D4"/>
    <w:rsid w:val="00A56630"/>
    <w:rsid w:val="00A57A8F"/>
    <w:rsid w:val="00A60580"/>
    <w:rsid w:val="00A60FAA"/>
    <w:rsid w:val="00A614FC"/>
    <w:rsid w:val="00A623F5"/>
    <w:rsid w:val="00A62F24"/>
    <w:rsid w:val="00A6371B"/>
    <w:rsid w:val="00A63C66"/>
    <w:rsid w:val="00A64CB7"/>
    <w:rsid w:val="00A650F5"/>
    <w:rsid w:val="00A67414"/>
    <w:rsid w:val="00A70F60"/>
    <w:rsid w:val="00A715C1"/>
    <w:rsid w:val="00A71DCA"/>
    <w:rsid w:val="00A759D5"/>
    <w:rsid w:val="00A75EEC"/>
    <w:rsid w:val="00A767E4"/>
    <w:rsid w:val="00A77329"/>
    <w:rsid w:val="00A7796E"/>
    <w:rsid w:val="00A807E1"/>
    <w:rsid w:val="00A80806"/>
    <w:rsid w:val="00A80C90"/>
    <w:rsid w:val="00A823EB"/>
    <w:rsid w:val="00A8405F"/>
    <w:rsid w:val="00A84BD0"/>
    <w:rsid w:val="00A854BA"/>
    <w:rsid w:val="00A864AB"/>
    <w:rsid w:val="00A8717C"/>
    <w:rsid w:val="00A9057E"/>
    <w:rsid w:val="00A90E31"/>
    <w:rsid w:val="00A90EFB"/>
    <w:rsid w:val="00A9169C"/>
    <w:rsid w:val="00A921FB"/>
    <w:rsid w:val="00A923D7"/>
    <w:rsid w:val="00A924BF"/>
    <w:rsid w:val="00A9295C"/>
    <w:rsid w:val="00A92E39"/>
    <w:rsid w:val="00A963D3"/>
    <w:rsid w:val="00A97F15"/>
    <w:rsid w:val="00AA0A52"/>
    <w:rsid w:val="00AA6A8D"/>
    <w:rsid w:val="00AA6EAB"/>
    <w:rsid w:val="00AA6EE8"/>
    <w:rsid w:val="00AA71F9"/>
    <w:rsid w:val="00AA7B70"/>
    <w:rsid w:val="00AB0880"/>
    <w:rsid w:val="00AB0B7C"/>
    <w:rsid w:val="00AB1CA1"/>
    <w:rsid w:val="00AB253D"/>
    <w:rsid w:val="00AB2997"/>
    <w:rsid w:val="00AB2A51"/>
    <w:rsid w:val="00AB306F"/>
    <w:rsid w:val="00AB3153"/>
    <w:rsid w:val="00AB3443"/>
    <w:rsid w:val="00AB35C8"/>
    <w:rsid w:val="00AB3A30"/>
    <w:rsid w:val="00AB4CC0"/>
    <w:rsid w:val="00AB5182"/>
    <w:rsid w:val="00AB5635"/>
    <w:rsid w:val="00AB5CE5"/>
    <w:rsid w:val="00AB60BD"/>
    <w:rsid w:val="00AB7FD4"/>
    <w:rsid w:val="00AC0797"/>
    <w:rsid w:val="00AC0FFB"/>
    <w:rsid w:val="00AC41E6"/>
    <w:rsid w:val="00AC4444"/>
    <w:rsid w:val="00AC4825"/>
    <w:rsid w:val="00AC6153"/>
    <w:rsid w:val="00AC6A4D"/>
    <w:rsid w:val="00AC6C5B"/>
    <w:rsid w:val="00AD009F"/>
    <w:rsid w:val="00AD00E8"/>
    <w:rsid w:val="00AD0F93"/>
    <w:rsid w:val="00AD2BF0"/>
    <w:rsid w:val="00AD3352"/>
    <w:rsid w:val="00AD3489"/>
    <w:rsid w:val="00AD5089"/>
    <w:rsid w:val="00AD5116"/>
    <w:rsid w:val="00AD5D25"/>
    <w:rsid w:val="00AD7BD8"/>
    <w:rsid w:val="00AD7C49"/>
    <w:rsid w:val="00AE0886"/>
    <w:rsid w:val="00AE1BF1"/>
    <w:rsid w:val="00AE1EEB"/>
    <w:rsid w:val="00AE303A"/>
    <w:rsid w:val="00AE3266"/>
    <w:rsid w:val="00AE74AB"/>
    <w:rsid w:val="00AE7AD0"/>
    <w:rsid w:val="00AE7F42"/>
    <w:rsid w:val="00AF0399"/>
    <w:rsid w:val="00AF258F"/>
    <w:rsid w:val="00AF2B25"/>
    <w:rsid w:val="00AF4C0A"/>
    <w:rsid w:val="00AF5158"/>
    <w:rsid w:val="00AF5850"/>
    <w:rsid w:val="00AF714C"/>
    <w:rsid w:val="00AF716B"/>
    <w:rsid w:val="00AF7D21"/>
    <w:rsid w:val="00B01BF8"/>
    <w:rsid w:val="00B01D55"/>
    <w:rsid w:val="00B02272"/>
    <w:rsid w:val="00B047E2"/>
    <w:rsid w:val="00B04D8B"/>
    <w:rsid w:val="00B069B0"/>
    <w:rsid w:val="00B06C5C"/>
    <w:rsid w:val="00B07188"/>
    <w:rsid w:val="00B10B99"/>
    <w:rsid w:val="00B10C83"/>
    <w:rsid w:val="00B169C0"/>
    <w:rsid w:val="00B20A8F"/>
    <w:rsid w:val="00B21EC7"/>
    <w:rsid w:val="00B22763"/>
    <w:rsid w:val="00B229D6"/>
    <w:rsid w:val="00B22E49"/>
    <w:rsid w:val="00B2335E"/>
    <w:rsid w:val="00B25AEA"/>
    <w:rsid w:val="00B26164"/>
    <w:rsid w:val="00B263B2"/>
    <w:rsid w:val="00B26892"/>
    <w:rsid w:val="00B30065"/>
    <w:rsid w:val="00B303D8"/>
    <w:rsid w:val="00B30C18"/>
    <w:rsid w:val="00B33926"/>
    <w:rsid w:val="00B341E1"/>
    <w:rsid w:val="00B3486F"/>
    <w:rsid w:val="00B349E8"/>
    <w:rsid w:val="00B354A8"/>
    <w:rsid w:val="00B35881"/>
    <w:rsid w:val="00B35E88"/>
    <w:rsid w:val="00B36AF3"/>
    <w:rsid w:val="00B36E1F"/>
    <w:rsid w:val="00B373C2"/>
    <w:rsid w:val="00B37476"/>
    <w:rsid w:val="00B41524"/>
    <w:rsid w:val="00B42741"/>
    <w:rsid w:val="00B42ACE"/>
    <w:rsid w:val="00B43B04"/>
    <w:rsid w:val="00B45360"/>
    <w:rsid w:val="00B45383"/>
    <w:rsid w:val="00B458A3"/>
    <w:rsid w:val="00B470D1"/>
    <w:rsid w:val="00B51013"/>
    <w:rsid w:val="00B53C0C"/>
    <w:rsid w:val="00B5669C"/>
    <w:rsid w:val="00B5676D"/>
    <w:rsid w:val="00B57C9B"/>
    <w:rsid w:val="00B625B8"/>
    <w:rsid w:val="00B63714"/>
    <w:rsid w:val="00B64B72"/>
    <w:rsid w:val="00B6553A"/>
    <w:rsid w:val="00B667AD"/>
    <w:rsid w:val="00B6774F"/>
    <w:rsid w:val="00B67792"/>
    <w:rsid w:val="00B70005"/>
    <w:rsid w:val="00B700DA"/>
    <w:rsid w:val="00B7041B"/>
    <w:rsid w:val="00B704ED"/>
    <w:rsid w:val="00B719D1"/>
    <w:rsid w:val="00B7261D"/>
    <w:rsid w:val="00B7601E"/>
    <w:rsid w:val="00B76126"/>
    <w:rsid w:val="00B771DF"/>
    <w:rsid w:val="00B800F1"/>
    <w:rsid w:val="00B80732"/>
    <w:rsid w:val="00B81883"/>
    <w:rsid w:val="00B81F3D"/>
    <w:rsid w:val="00B82026"/>
    <w:rsid w:val="00B831FA"/>
    <w:rsid w:val="00B83A7F"/>
    <w:rsid w:val="00B847DB"/>
    <w:rsid w:val="00B867A9"/>
    <w:rsid w:val="00B92260"/>
    <w:rsid w:val="00B93AD0"/>
    <w:rsid w:val="00B94CA9"/>
    <w:rsid w:val="00B97C5D"/>
    <w:rsid w:val="00B97E8A"/>
    <w:rsid w:val="00BA39D4"/>
    <w:rsid w:val="00BA3FDC"/>
    <w:rsid w:val="00BA4392"/>
    <w:rsid w:val="00BA4CA7"/>
    <w:rsid w:val="00BA5B34"/>
    <w:rsid w:val="00BA5B5F"/>
    <w:rsid w:val="00BA7FCB"/>
    <w:rsid w:val="00BB1EB8"/>
    <w:rsid w:val="00BB2DF9"/>
    <w:rsid w:val="00BB2E67"/>
    <w:rsid w:val="00BB55BF"/>
    <w:rsid w:val="00BB5EA2"/>
    <w:rsid w:val="00BB770D"/>
    <w:rsid w:val="00BC070D"/>
    <w:rsid w:val="00BC1AFA"/>
    <w:rsid w:val="00BC1F94"/>
    <w:rsid w:val="00BC4040"/>
    <w:rsid w:val="00BC563D"/>
    <w:rsid w:val="00BC60B1"/>
    <w:rsid w:val="00BC6B37"/>
    <w:rsid w:val="00BC776C"/>
    <w:rsid w:val="00BC7C7A"/>
    <w:rsid w:val="00BD072B"/>
    <w:rsid w:val="00BD0E24"/>
    <w:rsid w:val="00BD23DD"/>
    <w:rsid w:val="00BD2A86"/>
    <w:rsid w:val="00BD391C"/>
    <w:rsid w:val="00BD39A6"/>
    <w:rsid w:val="00BD4951"/>
    <w:rsid w:val="00BD5A63"/>
    <w:rsid w:val="00BD5E7C"/>
    <w:rsid w:val="00BD75F2"/>
    <w:rsid w:val="00BE00A5"/>
    <w:rsid w:val="00BE0F0C"/>
    <w:rsid w:val="00BE163A"/>
    <w:rsid w:val="00BE3D48"/>
    <w:rsid w:val="00BE42B8"/>
    <w:rsid w:val="00BE54A7"/>
    <w:rsid w:val="00BE770F"/>
    <w:rsid w:val="00BE7FED"/>
    <w:rsid w:val="00BF0301"/>
    <w:rsid w:val="00BF1D40"/>
    <w:rsid w:val="00BF2449"/>
    <w:rsid w:val="00BF30CC"/>
    <w:rsid w:val="00BF351E"/>
    <w:rsid w:val="00BF4E8F"/>
    <w:rsid w:val="00BF51D2"/>
    <w:rsid w:val="00BF6A59"/>
    <w:rsid w:val="00BF7698"/>
    <w:rsid w:val="00BF7D0A"/>
    <w:rsid w:val="00C008FC"/>
    <w:rsid w:val="00C0125B"/>
    <w:rsid w:val="00C03A20"/>
    <w:rsid w:val="00C04ABC"/>
    <w:rsid w:val="00C050FA"/>
    <w:rsid w:val="00C05988"/>
    <w:rsid w:val="00C06B32"/>
    <w:rsid w:val="00C07CE1"/>
    <w:rsid w:val="00C10736"/>
    <w:rsid w:val="00C10E26"/>
    <w:rsid w:val="00C10F26"/>
    <w:rsid w:val="00C117A1"/>
    <w:rsid w:val="00C11C8A"/>
    <w:rsid w:val="00C1290C"/>
    <w:rsid w:val="00C2056F"/>
    <w:rsid w:val="00C2072C"/>
    <w:rsid w:val="00C20F09"/>
    <w:rsid w:val="00C21124"/>
    <w:rsid w:val="00C214FE"/>
    <w:rsid w:val="00C21B55"/>
    <w:rsid w:val="00C21FA1"/>
    <w:rsid w:val="00C22BDD"/>
    <w:rsid w:val="00C24505"/>
    <w:rsid w:val="00C3014A"/>
    <w:rsid w:val="00C3058E"/>
    <w:rsid w:val="00C30A97"/>
    <w:rsid w:val="00C36877"/>
    <w:rsid w:val="00C41140"/>
    <w:rsid w:val="00C43BEA"/>
    <w:rsid w:val="00C457D1"/>
    <w:rsid w:val="00C4592A"/>
    <w:rsid w:val="00C45957"/>
    <w:rsid w:val="00C45BE2"/>
    <w:rsid w:val="00C5035F"/>
    <w:rsid w:val="00C51D47"/>
    <w:rsid w:val="00C52FEB"/>
    <w:rsid w:val="00C533BF"/>
    <w:rsid w:val="00C538A3"/>
    <w:rsid w:val="00C54871"/>
    <w:rsid w:val="00C549CB"/>
    <w:rsid w:val="00C5517F"/>
    <w:rsid w:val="00C5644E"/>
    <w:rsid w:val="00C572E7"/>
    <w:rsid w:val="00C60536"/>
    <w:rsid w:val="00C653A8"/>
    <w:rsid w:val="00C6577A"/>
    <w:rsid w:val="00C663C7"/>
    <w:rsid w:val="00C7135B"/>
    <w:rsid w:val="00C75325"/>
    <w:rsid w:val="00C773B7"/>
    <w:rsid w:val="00C77909"/>
    <w:rsid w:val="00C77B35"/>
    <w:rsid w:val="00C77BAC"/>
    <w:rsid w:val="00C80DA8"/>
    <w:rsid w:val="00C815C8"/>
    <w:rsid w:val="00C81944"/>
    <w:rsid w:val="00C82215"/>
    <w:rsid w:val="00C8274D"/>
    <w:rsid w:val="00C82B77"/>
    <w:rsid w:val="00C83630"/>
    <w:rsid w:val="00C84800"/>
    <w:rsid w:val="00C84C69"/>
    <w:rsid w:val="00C87998"/>
    <w:rsid w:val="00C90BB6"/>
    <w:rsid w:val="00C90D01"/>
    <w:rsid w:val="00C920F1"/>
    <w:rsid w:val="00C9220C"/>
    <w:rsid w:val="00C93789"/>
    <w:rsid w:val="00C93E42"/>
    <w:rsid w:val="00C9473D"/>
    <w:rsid w:val="00C9581D"/>
    <w:rsid w:val="00C95A71"/>
    <w:rsid w:val="00C95B51"/>
    <w:rsid w:val="00C97168"/>
    <w:rsid w:val="00C972BE"/>
    <w:rsid w:val="00CA03AD"/>
    <w:rsid w:val="00CA34FC"/>
    <w:rsid w:val="00CA4C6B"/>
    <w:rsid w:val="00CB0BCC"/>
    <w:rsid w:val="00CB14B4"/>
    <w:rsid w:val="00CB1549"/>
    <w:rsid w:val="00CB33F3"/>
    <w:rsid w:val="00CB37FA"/>
    <w:rsid w:val="00CB3D3C"/>
    <w:rsid w:val="00CB4700"/>
    <w:rsid w:val="00CB4CD3"/>
    <w:rsid w:val="00CB5784"/>
    <w:rsid w:val="00CB58AB"/>
    <w:rsid w:val="00CB664B"/>
    <w:rsid w:val="00CB7177"/>
    <w:rsid w:val="00CB7297"/>
    <w:rsid w:val="00CC0082"/>
    <w:rsid w:val="00CC0459"/>
    <w:rsid w:val="00CC1C36"/>
    <w:rsid w:val="00CC27C2"/>
    <w:rsid w:val="00CC2D36"/>
    <w:rsid w:val="00CC3DDF"/>
    <w:rsid w:val="00CC4C20"/>
    <w:rsid w:val="00CC5B45"/>
    <w:rsid w:val="00CC6CCE"/>
    <w:rsid w:val="00CC72AE"/>
    <w:rsid w:val="00CC7E1E"/>
    <w:rsid w:val="00CD0A4F"/>
    <w:rsid w:val="00CD1701"/>
    <w:rsid w:val="00CD19A8"/>
    <w:rsid w:val="00CD1C46"/>
    <w:rsid w:val="00CD28BD"/>
    <w:rsid w:val="00CD4228"/>
    <w:rsid w:val="00CD46AF"/>
    <w:rsid w:val="00CD4F6F"/>
    <w:rsid w:val="00CD5636"/>
    <w:rsid w:val="00CD678D"/>
    <w:rsid w:val="00CE08AF"/>
    <w:rsid w:val="00CE33D1"/>
    <w:rsid w:val="00CE6158"/>
    <w:rsid w:val="00CE69CE"/>
    <w:rsid w:val="00CE6FBA"/>
    <w:rsid w:val="00CE6FC8"/>
    <w:rsid w:val="00CE75F2"/>
    <w:rsid w:val="00CF096A"/>
    <w:rsid w:val="00CF1469"/>
    <w:rsid w:val="00CF2D5E"/>
    <w:rsid w:val="00CF386B"/>
    <w:rsid w:val="00CF3A4D"/>
    <w:rsid w:val="00CF429C"/>
    <w:rsid w:val="00CF5913"/>
    <w:rsid w:val="00CF5BF4"/>
    <w:rsid w:val="00CF5CD0"/>
    <w:rsid w:val="00CF71DE"/>
    <w:rsid w:val="00D01246"/>
    <w:rsid w:val="00D03056"/>
    <w:rsid w:val="00D043BC"/>
    <w:rsid w:val="00D0545A"/>
    <w:rsid w:val="00D07F8A"/>
    <w:rsid w:val="00D12FA5"/>
    <w:rsid w:val="00D1403E"/>
    <w:rsid w:val="00D15670"/>
    <w:rsid w:val="00D1592A"/>
    <w:rsid w:val="00D1652E"/>
    <w:rsid w:val="00D16B74"/>
    <w:rsid w:val="00D16F2C"/>
    <w:rsid w:val="00D2045F"/>
    <w:rsid w:val="00D219B3"/>
    <w:rsid w:val="00D21B96"/>
    <w:rsid w:val="00D23D2B"/>
    <w:rsid w:val="00D244CE"/>
    <w:rsid w:val="00D24E1F"/>
    <w:rsid w:val="00D26321"/>
    <w:rsid w:val="00D274B0"/>
    <w:rsid w:val="00D27BDC"/>
    <w:rsid w:val="00D31546"/>
    <w:rsid w:val="00D32132"/>
    <w:rsid w:val="00D32870"/>
    <w:rsid w:val="00D32CFD"/>
    <w:rsid w:val="00D3332D"/>
    <w:rsid w:val="00D33A14"/>
    <w:rsid w:val="00D346C3"/>
    <w:rsid w:val="00D350AE"/>
    <w:rsid w:val="00D3537A"/>
    <w:rsid w:val="00D353F7"/>
    <w:rsid w:val="00D35BC7"/>
    <w:rsid w:val="00D36808"/>
    <w:rsid w:val="00D37514"/>
    <w:rsid w:val="00D375F0"/>
    <w:rsid w:val="00D41634"/>
    <w:rsid w:val="00D41AA5"/>
    <w:rsid w:val="00D42D87"/>
    <w:rsid w:val="00D4300B"/>
    <w:rsid w:val="00D433B0"/>
    <w:rsid w:val="00D4517D"/>
    <w:rsid w:val="00D501EB"/>
    <w:rsid w:val="00D51140"/>
    <w:rsid w:val="00D53085"/>
    <w:rsid w:val="00D53527"/>
    <w:rsid w:val="00D53786"/>
    <w:rsid w:val="00D53A61"/>
    <w:rsid w:val="00D545C4"/>
    <w:rsid w:val="00D549AD"/>
    <w:rsid w:val="00D54D4D"/>
    <w:rsid w:val="00D561F9"/>
    <w:rsid w:val="00D56E79"/>
    <w:rsid w:val="00D56FFC"/>
    <w:rsid w:val="00D57618"/>
    <w:rsid w:val="00D6023F"/>
    <w:rsid w:val="00D608F4"/>
    <w:rsid w:val="00D61167"/>
    <w:rsid w:val="00D61D1D"/>
    <w:rsid w:val="00D61DB0"/>
    <w:rsid w:val="00D63AFD"/>
    <w:rsid w:val="00D64D30"/>
    <w:rsid w:val="00D677CB"/>
    <w:rsid w:val="00D716EA"/>
    <w:rsid w:val="00D7197B"/>
    <w:rsid w:val="00D747FE"/>
    <w:rsid w:val="00D7481C"/>
    <w:rsid w:val="00D75110"/>
    <w:rsid w:val="00D75468"/>
    <w:rsid w:val="00D7570B"/>
    <w:rsid w:val="00D75A28"/>
    <w:rsid w:val="00D75AD7"/>
    <w:rsid w:val="00D76CCB"/>
    <w:rsid w:val="00D77364"/>
    <w:rsid w:val="00D776B5"/>
    <w:rsid w:val="00D818F9"/>
    <w:rsid w:val="00D82813"/>
    <w:rsid w:val="00D82C6D"/>
    <w:rsid w:val="00D838CD"/>
    <w:rsid w:val="00D84761"/>
    <w:rsid w:val="00D84841"/>
    <w:rsid w:val="00D84F6B"/>
    <w:rsid w:val="00D86A47"/>
    <w:rsid w:val="00D86AB0"/>
    <w:rsid w:val="00D86ECF"/>
    <w:rsid w:val="00D87405"/>
    <w:rsid w:val="00D8762A"/>
    <w:rsid w:val="00D90125"/>
    <w:rsid w:val="00D91DC0"/>
    <w:rsid w:val="00D925C4"/>
    <w:rsid w:val="00D92AB0"/>
    <w:rsid w:val="00D9311F"/>
    <w:rsid w:val="00D93F27"/>
    <w:rsid w:val="00D96070"/>
    <w:rsid w:val="00D97085"/>
    <w:rsid w:val="00D97A14"/>
    <w:rsid w:val="00DA00DB"/>
    <w:rsid w:val="00DA10CF"/>
    <w:rsid w:val="00DA131A"/>
    <w:rsid w:val="00DA1ABE"/>
    <w:rsid w:val="00DA3A53"/>
    <w:rsid w:val="00DA4AC6"/>
    <w:rsid w:val="00DA4F03"/>
    <w:rsid w:val="00DA7266"/>
    <w:rsid w:val="00DB11E3"/>
    <w:rsid w:val="00DB2518"/>
    <w:rsid w:val="00DB2BBA"/>
    <w:rsid w:val="00DB2FB7"/>
    <w:rsid w:val="00DB43A5"/>
    <w:rsid w:val="00DB654A"/>
    <w:rsid w:val="00DB6F8F"/>
    <w:rsid w:val="00DC0380"/>
    <w:rsid w:val="00DC167E"/>
    <w:rsid w:val="00DC31B2"/>
    <w:rsid w:val="00DC49B5"/>
    <w:rsid w:val="00DC5256"/>
    <w:rsid w:val="00DC61CC"/>
    <w:rsid w:val="00DC7AD4"/>
    <w:rsid w:val="00DD19B3"/>
    <w:rsid w:val="00DD2480"/>
    <w:rsid w:val="00DD355D"/>
    <w:rsid w:val="00DD39B2"/>
    <w:rsid w:val="00DD63C1"/>
    <w:rsid w:val="00DD63F6"/>
    <w:rsid w:val="00DD6656"/>
    <w:rsid w:val="00DD7EB7"/>
    <w:rsid w:val="00DE3221"/>
    <w:rsid w:val="00DE3586"/>
    <w:rsid w:val="00DE62BD"/>
    <w:rsid w:val="00DE6950"/>
    <w:rsid w:val="00DE7C20"/>
    <w:rsid w:val="00DF0C16"/>
    <w:rsid w:val="00DF1392"/>
    <w:rsid w:val="00DF205A"/>
    <w:rsid w:val="00DF260C"/>
    <w:rsid w:val="00DF28A4"/>
    <w:rsid w:val="00DF2E2A"/>
    <w:rsid w:val="00DF4250"/>
    <w:rsid w:val="00DF4D8C"/>
    <w:rsid w:val="00DF58C5"/>
    <w:rsid w:val="00DF62B0"/>
    <w:rsid w:val="00DF7A22"/>
    <w:rsid w:val="00E0051F"/>
    <w:rsid w:val="00E00EA6"/>
    <w:rsid w:val="00E01F2A"/>
    <w:rsid w:val="00E02E0B"/>
    <w:rsid w:val="00E03AD7"/>
    <w:rsid w:val="00E048B9"/>
    <w:rsid w:val="00E05A02"/>
    <w:rsid w:val="00E06D1D"/>
    <w:rsid w:val="00E07B37"/>
    <w:rsid w:val="00E121D3"/>
    <w:rsid w:val="00E133A4"/>
    <w:rsid w:val="00E134D7"/>
    <w:rsid w:val="00E148BB"/>
    <w:rsid w:val="00E154E0"/>
    <w:rsid w:val="00E16308"/>
    <w:rsid w:val="00E20965"/>
    <w:rsid w:val="00E23004"/>
    <w:rsid w:val="00E23678"/>
    <w:rsid w:val="00E239C0"/>
    <w:rsid w:val="00E2599A"/>
    <w:rsid w:val="00E2768A"/>
    <w:rsid w:val="00E301F2"/>
    <w:rsid w:val="00E30B0F"/>
    <w:rsid w:val="00E320AF"/>
    <w:rsid w:val="00E32458"/>
    <w:rsid w:val="00E32DE3"/>
    <w:rsid w:val="00E335C9"/>
    <w:rsid w:val="00E3568D"/>
    <w:rsid w:val="00E357AC"/>
    <w:rsid w:val="00E35E0C"/>
    <w:rsid w:val="00E3649F"/>
    <w:rsid w:val="00E42439"/>
    <w:rsid w:val="00E428F5"/>
    <w:rsid w:val="00E455E1"/>
    <w:rsid w:val="00E46484"/>
    <w:rsid w:val="00E4684E"/>
    <w:rsid w:val="00E46F68"/>
    <w:rsid w:val="00E50AA6"/>
    <w:rsid w:val="00E50C56"/>
    <w:rsid w:val="00E51370"/>
    <w:rsid w:val="00E53C0B"/>
    <w:rsid w:val="00E55CD4"/>
    <w:rsid w:val="00E55E71"/>
    <w:rsid w:val="00E565D7"/>
    <w:rsid w:val="00E56AF0"/>
    <w:rsid w:val="00E571D4"/>
    <w:rsid w:val="00E57697"/>
    <w:rsid w:val="00E601AB"/>
    <w:rsid w:val="00E6052C"/>
    <w:rsid w:val="00E619B8"/>
    <w:rsid w:val="00E6485D"/>
    <w:rsid w:val="00E6530E"/>
    <w:rsid w:val="00E66F85"/>
    <w:rsid w:val="00E674FC"/>
    <w:rsid w:val="00E67804"/>
    <w:rsid w:val="00E67AF2"/>
    <w:rsid w:val="00E708CD"/>
    <w:rsid w:val="00E71904"/>
    <w:rsid w:val="00E7355F"/>
    <w:rsid w:val="00E73A75"/>
    <w:rsid w:val="00E73A94"/>
    <w:rsid w:val="00E741CE"/>
    <w:rsid w:val="00E74A29"/>
    <w:rsid w:val="00E74DC9"/>
    <w:rsid w:val="00E75C2A"/>
    <w:rsid w:val="00E75C4C"/>
    <w:rsid w:val="00E76655"/>
    <w:rsid w:val="00E768B8"/>
    <w:rsid w:val="00E77B29"/>
    <w:rsid w:val="00E77E06"/>
    <w:rsid w:val="00E8063E"/>
    <w:rsid w:val="00E81509"/>
    <w:rsid w:val="00E817C4"/>
    <w:rsid w:val="00E83CEF"/>
    <w:rsid w:val="00E849BD"/>
    <w:rsid w:val="00E85C9B"/>
    <w:rsid w:val="00E86121"/>
    <w:rsid w:val="00E87324"/>
    <w:rsid w:val="00E877AA"/>
    <w:rsid w:val="00E91116"/>
    <w:rsid w:val="00E93084"/>
    <w:rsid w:val="00E93FD6"/>
    <w:rsid w:val="00E958FD"/>
    <w:rsid w:val="00E96FF5"/>
    <w:rsid w:val="00E978F3"/>
    <w:rsid w:val="00EA0306"/>
    <w:rsid w:val="00EA059C"/>
    <w:rsid w:val="00EA1A81"/>
    <w:rsid w:val="00EA23D4"/>
    <w:rsid w:val="00EA2628"/>
    <w:rsid w:val="00EA4E82"/>
    <w:rsid w:val="00EA4F23"/>
    <w:rsid w:val="00EA6EB7"/>
    <w:rsid w:val="00EA7D39"/>
    <w:rsid w:val="00EB0FB2"/>
    <w:rsid w:val="00EB1970"/>
    <w:rsid w:val="00EB21D8"/>
    <w:rsid w:val="00EB3872"/>
    <w:rsid w:val="00EB502F"/>
    <w:rsid w:val="00EB55CC"/>
    <w:rsid w:val="00EB60FE"/>
    <w:rsid w:val="00EB6A41"/>
    <w:rsid w:val="00EB7D8E"/>
    <w:rsid w:val="00EB7ED1"/>
    <w:rsid w:val="00EC02F7"/>
    <w:rsid w:val="00EC143C"/>
    <w:rsid w:val="00EC1A70"/>
    <w:rsid w:val="00EC1BA9"/>
    <w:rsid w:val="00EC3BD4"/>
    <w:rsid w:val="00EC421D"/>
    <w:rsid w:val="00EC51AE"/>
    <w:rsid w:val="00EC57B5"/>
    <w:rsid w:val="00EC63FA"/>
    <w:rsid w:val="00EC70A2"/>
    <w:rsid w:val="00EC780D"/>
    <w:rsid w:val="00ED0240"/>
    <w:rsid w:val="00ED05BD"/>
    <w:rsid w:val="00ED270C"/>
    <w:rsid w:val="00ED4808"/>
    <w:rsid w:val="00ED531D"/>
    <w:rsid w:val="00ED7D4B"/>
    <w:rsid w:val="00EE35C4"/>
    <w:rsid w:val="00EE36D7"/>
    <w:rsid w:val="00EE4F4C"/>
    <w:rsid w:val="00EE6960"/>
    <w:rsid w:val="00EE728E"/>
    <w:rsid w:val="00EE7E38"/>
    <w:rsid w:val="00EE7F0E"/>
    <w:rsid w:val="00EF2006"/>
    <w:rsid w:val="00EF2069"/>
    <w:rsid w:val="00EF316A"/>
    <w:rsid w:val="00EF3B36"/>
    <w:rsid w:val="00EF4E11"/>
    <w:rsid w:val="00EF50EA"/>
    <w:rsid w:val="00EF5150"/>
    <w:rsid w:val="00EF6280"/>
    <w:rsid w:val="00EF6351"/>
    <w:rsid w:val="00EF731F"/>
    <w:rsid w:val="00EF77E2"/>
    <w:rsid w:val="00F002F7"/>
    <w:rsid w:val="00F00725"/>
    <w:rsid w:val="00F00BA8"/>
    <w:rsid w:val="00F01F71"/>
    <w:rsid w:val="00F02512"/>
    <w:rsid w:val="00F026FC"/>
    <w:rsid w:val="00F02CF7"/>
    <w:rsid w:val="00F05FE8"/>
    <w:rsid w:val="00F10266"/>
    <w:rsid w:val="00F1028B"/>
    <w:rsid w:val="00F1084F"/>
    <w:rsid w:val="00F12EB3"/>
    <w:rsid w:val="00F13906"/>
    <w:rsid w:val="00F1488F"/>
    <w:rsid w:val="00F150AF"/>
    <w:rsid w:val="00F15118"/>
    <w:rsid w:val="00F15A80"/>
    <w:rsid w:val="00F1778A"/>
    <w:rsid w:val="00F2027C"/>
    <w:rsid w:val="00F213AB"/>
    <w:rsid w:val="00F21B98"/>
    <w:rsid w:val="00F2240A"/>
    <w:rsid w:val="00F22D1B"/>
    <w:rsid w:val="00F23208"/>
    <w:rsid w:val="00F24FEF"/>
    <w:rsid w:val="00F254C4"/>
    <w:rsid w:val="00F25B95"/>
    <w:rsid w:val="00F25C58"/>
    <w:rsid w:val="00F30A53"/>
    <w:rsid w:val="00F31D16"/>
    <w:rsid w:val="00F3237A"/>
    <w:rsid w:val="00F32C30"/>
    <w:rsid w:val="00F33BA5"/>
    <w:rsid w:val="00F3523D"/>
    <w:rsid w:val="00F358FD"/>
    <w:rsid w:val="00F35CFD"/>
    <w:rsid w:val="00F37379"/>
    <w:rsid w:val="00F41FC5"/>
    <w:rsid w:val="00F4327B"/>
    <w:rsid w:val="00F442B1"/>
    <w:rsid w:val="00F45F6D"/>
    <w:rsid w:val="00F46785"/>
    <w:rsid w:val="00F47E9A"/>
    <w:rsid w:val="00F51650"/>
    <w:rsid w:val="00F51676"/>
    <w:rsid w:val="00F53BBF"/>
    <w:rsid w:val="00F54CE5"/>
    <w:rsid w:val="00F56062"/>
    <w:rsid w:val="00F56349"/>
    <w:rsid w:val="00F5643B"/>
    <w:rsid w:val="00F608D6"/>
    <w:rsid w:val="00F619E3"/>
    <w:rsid w:val="00F63197"/>
    <w:rsid w:val="00F640CB"/>
    <w:rsid w:val="00F64849"/>
    <w:rsid w:val="00F649B6"/>
    <w:rsid w:val="00F65825"/>
    <w:rsid w:val="00F6657B"/>
    <w:rsid w:val="00F6659C"/>
    <w:rsid w:val="00F66947"/>
    <w:rsid w:val="00F70D20"/>
    <w:rsid w:val="00F70D95"/>
    <w:rsid w:val="00F72642"/>
    <w:rsid w:val="00F7289A"/>
    <w:rsid w:val="00F72D98"/>
    <w:rsid w:val="00F7405E"/>
    <w:rsid w:val="00F743D6"/>
    <w:rsid w:val="00F74B2F"/>
    <w:rsid w:val="00F76991"/>
    <w:rsid w:val="00F76D38"/>
    <w:rsid w:val="00F77AB6"/>
    <w:rsid w:val="00F80FB7"/>
    <w:rsid w:val="00F83AD2"/>
    <w:rsid w:val="00F83B23"/>
    <w:rsid w:val="00F852C2"/>
    <w:rsid w:val="00F86894"/>
    <w:rsid w:val="00F87847"/>
    <w:rsid w:val="00F900C6"/>
    <w:rsid w:val="00F93A8E"/>
    <w:rsid w:val="00F94C24"/>
    <w:rsid w:val="00F9509D"/>
    <w:rsid w:val="00F95466"/>
    <w:rsid w:val="00F95B02"/>
    <w:rsid w:val="00F97B52"/>
    <w:rsid w:val="00FA3C94"/>
    <w:rsid w:val="00FA4855"/>
    <w:rsid w:val="00FA5560"/>
    <w:rsid w:val="00FA5BA4"/>
    <w:rsid w:val="00FB12C1"/>
    <w:rsid w:val="00FB2475"/>
    <w:rsid w:val="00FB3D2C"/>
    <w:rsid w:val="00FB49F9"/>
    <w:rsid w:val="00FB5CF0"/>
    <w:rsid w:val="00FB5FC6"/>
    <w:rsid w:val="00FB7B2B"/>
    <w:rsid w:val="00FB7E66"/>
    <w:rsid w:val="00FC0237"/>
    <w:rsid w:val="00FC043B"/>
    <w:rsid w:val="00FC1521"/>
    <w:rsid w:val="00FC391A"/>
    <w:rsid w:val="00FC46E9"/>
    <w:rsid w:val="00FC4CED"/>
    <w:rsid w:val="00FC7971"/>
    <w:rsid w:val="00FC79DE"/>
    <w:rsid w:val="00FD0551"/>
    <w:rsid w:val="00FD0B7D"/>
    <w:rsid w:val="00FD0F66"/>
    <w:rsid w:val="00FD182B"/>
    <w:rsid w:val="00FD2105"/>
    <w:rsid w:val="00FD264C"/>
    <w:rsid w:val="00FD2A33"/>
    <w:rsid w:val="00FD32E3"/>
    <w:rsid w:val="00FD47D7"/>
    <w:rsid w:val="00FD4EA7"/>
    <w:rsid w:val="00FD5853"/>
    <w:rsid w:val="00FD65B2"/>
    <w:rsid w:val="00FD6BBB"/>
    <w:rsid w:val="00FD787F"/>
    <w:rsid w:val="00FD7B29"/>
    <w:rsid w:val="00FD7C64"/>
    <w:rsid w:val="00FE00F4"/>
    <w:rsid w:val="00FE0949"/>
    <w:rsid w:val="00FE1D1C"/>
    <w:rsid w:val="00FE1E85"/>
    <w:rsid w:val="00FE2570"/>
    <w:rsid w:val="00FE2753"/>
    <w:rsid w:val="00FE3918"/>
    <w:rsid w:val="00FE3A19"/>
    <w:rsid w:val="00FE3B7B"/>
    <w:rsid w:val="00FE769D"/>
    <w:rsid w:val="00FF09B5"/>
    <w:rsid w:val="00FF0DCB"/>
    <w:rsid w:val="00FF0EBB"/>
    <w:rsid w:val="00FF337B"/>
    <w:rsid w:val="00FF3C3C"/>
    <w:rsid w:val="00FF4A12"/>
    <w:rsid w:val="00FF547F"/>
    <w:rsid w:val="00FF6150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3B29"/>
  <w15:docId w15:val="{9F1A0C93-9F99-4100-B1A8-5DA7648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D6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F1778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kstblokowy">
    <w:name w:val="Block Text"/>
    <w:basedOn w:val="Normalny"/>
    <w:uiPriority w:val="99"/>
    <w:rsid w:val="002A0AD6"/>
    <w:pPr>
      <w:adjustRightInd w:val="0"/>
      <w:spacing w:line="360" w:lineRule="auto"/>
    </w:pPr>
    <w:rPr>
      <w:rFonts w:ascii="Arial" w:hAnsi="Arial" w:cs="Arial"/>
      <w:lang w:eastAsia="en-US"/>
    </w:rPr>
  </w:style>
  <w:style w:type="paragraph" w:customStyle="1" w:styleId="Heading">
    <w:name w:val="Heading"/>
    <w:basedOn w:val="Tekstblokowy"/>
    <w:next w:val="Tekstblokowy"/>
    <w:autoRedefine/>
    <w:uiPriority w:val="99"/>
    <w:rsid w:val="002A0AD6"/>
    <w:pPr>
      <w:tabs>
        <w:tab w:val="left" w:pos="11199"/>
      </w:tabs>
      <w:spacing w:after="120"/>
    </w:pPr>
    <w:rPr>
      <w:b/>
      <w:bCs/>
      <w:color w:val="4C5154"/>
    </w:rPr>
  </w:style>
  <w:style w:type="paragraph" w:customStyle="1" w:styleId="Bulletcopy">
    <w:name w:val="Bullet copy"/>
    <w:basedOn w:val="Normalny"/>
    <w:autoRedefine/>
    <w:uiPriority w:val="99"/>
    <w:rsid w:val="002A0AD6"/>
    <w:pPr>
      <w:numPr>
        <w:numId w:val="1"/>
      </w:numPr>
      <w:tabs>
        <w:tab w:val="clear" w:pos="4811"/>
        <w:tab w:val="num" w:pos="567"/>
      </w:tabs>
      <w:spacing w:after="120"/>
      <w:ind w:left="567" w:hanging="567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NormalnyWeb">
    <w:name w:val="Normal (Web)"/>
    <w:aliases w:val="webb"/>
    <w:basedOn w:val="Normalny"/>
    <w:uiPriority w:val="99"/>
    <w:rsid w:val="002A0AD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AD6"/>
    <w:rPr>
      <w:rFonts w:ascii="Tahoma" w:hAnsi="Tahoma" w:cs="Tahoma"/>
      <w:sz w:val="16"/>
      <w:szCs w:val="16"/>
      <w:lang w:val="pl-PL" w:eastAsia="en-GB"/>
    </w:rPr>
  </w:style>
  <w:style w:type="character" w:styleId="Odwoaniedokomentarza">
    <w:name w:val="annotation reference"/>
    <w:basedOn w:val="Domylnaczcionkaakapitu"/>
    <w:uiPriority w:val="99"/>
    <w:semiHidden/>
    <w:rsid w:val="006D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48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8A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8A6"/>
    <w:rPr>
      <w:rFonts w:ascii="Times New Roman" w:hAnsi="Times New Roman" w:cs="Times New Roman"/>
      <w:b/>
      <w:bCs/>
      <w:sz w:val="20"/>
      <w:szCs w:val="20"/>
      <w:lang w:val="pl-PL" w:eastAsia="en-GB"/>
    </w:rPr>
  </w:style>
  <w:style w:type="character" w:customStyle="1" w:styleId="hps">
    <w:name w:val="hps"/>
    <w:basedOn w:val="Domylnaczcionkaakapitu"/>
    <w:uiPriority w:val="99"/>
    <w:rsid w:val="00750915"/>
  </w:style>
  <w:style w:type="character" w:customStyle="1" w:styleId="atn">
    <w:name w:val="atn"/>
    <w:basedOn w:val="Domylnaczcionkaakapitu"/>
    <w:uiPriority w:val="99"/>
    <w:rsid w:val="00534100"/>
  </w:style>
  <w:style w:type="character" w:styleId="Hipercze">
    <w:name w:val="Hyperlink"/>
    <w:basedOn w:val="Domylnaczcionkaakapitu"/>
    <w:uiPriority w:val="99"/>
    <w:rsid w:val="007C7294"/>
    <w:rPr>
      <w:color w:val="0000FF"/>
      <w:u w:val="single"/>
    </w:rPr>
  </w:style>
  <w:style w:type="paragraph" w:customStyle="1" w:styleId="Bullet11">
    <w:name w:val="Bullet 11"/>
    <w:basedOn w:val="Normalny"/>
    <w:uiPriority w:val="99"/>
    <w:rsid w:val="007C7294"/>
    <w:pPr>
      <w:numPr>
        <w:numId w:val="3"/>
      </w:numPr>
      <w:tabs>
        <w:tab w:val="clear" w:pos="851"/>
        <w:tab w:val="num" w:pos="567"/>
      </w:tabs>
      <w:ind w:left="567" w:hanging="567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Summaryheading">
    <w:name w:val="Summary heading"/>
    <w:basedOn w:val="Normalny"/>
    <w:next w:val="Bullet11"/>
    <w:uiPriority w:val="99"/>
    <w:rsid w:val="007C7294"/>
    <w:pPr>
      <w:spacing w:after="60"/>
      <w:jc w:val="both"/>
    </w:pPr>
    <w:rPr>
      <w:rFonts w:ascii="Arial" w:hAnsi="Arial" w:cs="Arial"/>
      <w:b/>
      <w:bCs/>
      <w:lang w:eastAsia="en-US"/>
    </w:rPr>
  </w:style>
  <w:style w:type="paragraph" w:styleId="Bezodstpw">
    <w:name w:val="No Spacing"/>
    <w:uiPriority w:val="1"/>
    <w:qFormat/>
    <w:rsid w:val="00106523"/>
    <w:pPr>
      <w:ind w:left="6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159F1"/>
    <w:pPr>
      <w:ind w:left="720"/>
      <w:contextualSpacing/>
    </w:pPr>
  </w:style>
  <w:style w:type="paragraph" w:customStyle="1" w:styleId="TOP-Textkrper">
    <w:name w:val="TOP-Textkörper"/>
    <w:basedOn w:val="Normalny"/>
    <w:rsid w:val="00710238"/>
    <w:pPr>
      <w:tabs>
        <w:tab w:val="left" w:pos="2127"/>
      </w:tabs>
      <w:spacing w:line="180" w:lineRule="atLeast"/>
      <w:ind w:left="1134" w:right="1700"/>
    </w:pPr>
    <w:rPr>
      <w:rFonts w:ascii="Arial" w:hAnsi="Arial"/>
      <w:spacing w:val="-5"/>
      <w:lang w:eastAsia="de-DE"/>
    </w:rPr>
  </w:style>
  <w:style w:type="paragraph" w:customStyle="1" w:styleId="TOP-Gliederung">
    <w:name w:val="TOP-Gliederung"/>
    <w:basedOn w:val="TOP-Textkrper"/>
    <w:next w:val="TOP-Textkrper"/>
    <w:rsid w:val="00710238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778A"/>
    <w:rPr>
      <w:rFonts w:ascii="Times New Roman" w:eastAsia="Times New Roman" w:hAnsi="Times New Roman"/>
      <w:b/>
      <w:bCs/>
      <w:sz w:val="36"/>
      <w:szCs w:val="36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0013F2"/>
    <w:rPr>
      <w:rFonts w:ascii="Arial" w:hAnsi="Arial"/>
      <w:szCs w:val="21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3F2"/>
    <w:rPr>
      <w:rFonts w:ascii="Arial" w:eastAsia="Times New Roman" w:hAnsi="Arial"/>
      <w:sz w:val="20"/>
      <w:szCs w:val="21"/>
      <w:lang w:val="pl-PL" w:eastAsia="de-DE"/>
    </w:rPr>
  </w:style>
  <w:style w:type="paragraph" w:customStyle="1" w:styleId="text">
    <w:name w:val="text"/>
    <w:basedOn w:val="Normalny"/>
    <w:rsid w:val="008075E9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a-Siatka">
    <w:name w:val="Table Grid"/>
    <w:basedOn w:val="Standardowy"/>
    <w:uiPriority w:val="59"/>
    <w:locked/>
    <w:rsid w:val="0001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B4D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B0"/>
    <w:rPr>
      <w:snapToGrid w:val="0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B0"/>
    <w:rPr>
      <w:rFonts w:ascii="Times New Roman" w:eastAsia="Times New Roman" w:hAnsi="Times New Roman"/>
      <w:snapToGrid w:val="0"/>
      <w:sz w:val="20"/>
      <w:szCs w:val="20"/>
      <w:lang w:val="pl-PL" w:eastAsia="de-DE"/>
    </w:rPr>
  </w:style>
  <w:style w:type="paragraph" w:styleId="Poprawka">
    <w:name w:val="Revision"/>
    <w:hidden/>
    <w:uiPriority w:val="99"/>
    <w:semiHidden/>
    <w:rsid w:val="00F442B1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4C20"/>
    <w:rPr>
      <w:color w:val="414042" w:themeColor="followed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FB5FC6"/>
    <w:rPr>
      <w:color w:val="2B579A"/>
      <w:shd w:val="clear" w:color="auto" w:fill="E6E6E6"/>
    </w:rPr>
  </w:style>
  <w:style w:type="character" w:customStyle="1" w:styleId="Erwhnung1">
    <w:name w:val="Erwähnung1"/>
    <w:basedOn w:val="Domylnaczcionkaakapitu"/>
    <w:uiPriority w:val="99"/>
    <w:semiHidden/>
    <w:unhideWhenUsed/>
    <w:rsid w:val="00661FD0"/>
    <w:rPr>
      <w:color w:val="2B579A"/>
      <w:shd w:val="clear" w:color="auto" w:fill="E6E6E6"/>
    </w:rPr>
  </w:style>
  <w:style w:type="paragraph" w:customStyle="1" w:styleId="Default">
    <w:name w:val="Default"/>
    <w:rsid w:val="001663D7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character" w:customStyle="1" w:styleId="A1">
    <w:name w:val="A1"/>
    <w:uiPriority w:val="99"/>
    <w:rsid w:val="001663D7"/>
    <w:rPr>
      <w:rFonts w:cs="HelveticaNeue LT 45 Light"/>
      <w:color w:val="403F41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2D0182"/>
    <w:rPr>
      <w:color w:val="605E5C"/>
      <w:shd w:val="clear" w:color="auto" w:fill="E1DFDD"/>
    </w:rPr>
  </w:style>
  <w:style w:type="paragraph" w:customStyle="1" w:styleId="Bullet">
    <w:name w:val="Bullet"/>
    <w:basedOn w:val="Tekstpodstawowy"/>
    <w:link w:val="BulletChar"/>
    <w:uiPriority w:val="3"/>
    <w:qFormat/>
    <w:rsid w:val="00AD5116"/>
    <w:pPr>
      <w:numPr>
        <w:numId w:val="21"/>
      </w:numPr>
      <w:spacing w:after="227" w:line="240" w:lineRule="exact"/>
    </w:pPr>
    <w:rPr>
      <w:rFonts w:ascii="Arial" w:eastAsiaTheme="minorHAnsi" w:hAnsi="Arial" w:cstheme="minorBidi"/>
      <w:color w:val="1A206D" w:themeColor="accent1"/>
      <w:sz w:val="18"/>
      <w:lang w:eastAsia="en-US"/>
    </w:rPr>
  </w:style>
  <w:style w:type="character" w:customStyle="1" w:styleId="BulletChar">
    <w:name w:val="Bullet Char"/>
    <w:basedOn w:val="TekstpodstawowyZnak"/>
    <w:link w:val="Bullet"/>
    <w:uiPriority w:val="3"/>
    <w:rsid w:val="00AD5116"/>
    <w:rPr>
      <w:rFonts w:ascii="Arial" w:eastAsiaTheme="minorHAnsi" w:hAnsi="Arial" w:cstheme="minorBidi"/>
      <w:color w:val="1A206D" w:themeColor="accent1"/>
      <w:sz w:val="18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116"/>
    <w:rPr>
      <w:rFonts w:ascii="Times New Roman" w:eastAsia="Times New Roman" w:hAnsi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wielgus@advanced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illsim.com/research/outlook-2021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villsIM2">
      <a:dk1>
        <a:sysClr val="windowText" lastClr="000000"/>
      </a:dk1>
      <a:lt1>
        <a:sysClr val="window" lastClr="FFFFFF"/>
      </a:lt1>
      <a:dk2>
        <a:srgbClr val="1A206D"/>
      </a:dk2>
      <a:lt2>
        <a:srgbClr val="FFFFFF"/>
      </a:lt2>
      <a:accent1>
        <a:srgbClr val="1A206D"/>
      </a:accent1>
      <a:accent2>
        <a:srgbClr val="00ACC9"/>
      </a:accent2>
      <a:accent3>
        <a:srgbClr val="B3D454"/>
      </a:accent3>
      <a:accent4>
        <a:srgbClr val="BB1F33"/>
      </a:accent4>
      <a:accent5>
        <a:srgbClr val="00808C"/>
      </a:accent5>
      <a:accent6>
        <a:srgbClr val="F7D132"/>
      </a:accent6>
      <a:hlink>
        <a:srgbClr val="414042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625bce87e3842ec26eb410a7e89067d1">
  <xsd:schema xmlns:xsd="http://www.w3.org/2001/XMLSchema" xmlns:xs="http://www.w3.org/2001/XMLSchema" xmlns:p="http://schemas.microsoft.com/office/2006/metadata/properties" xmlns:ns2="6484407c-6b28-4514-8f82-e2adaf9bfafd" targetNamespace="http://schemas.microsoft.com/office/2006/metadata/properties" ma:root="true" ma:fieldsID="487c765cc4943e397188f66283fc4d2a" ns2:_="">
    <xsd:import namespace="6484407c-6b28-4514-8f82-e2adaf9b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22517-70A2-411B-9BEA-23914847A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4FB23-84D9-45A5-BD0F-CE613A03E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BDA14-76A7-4AB6-8001-9A8F7906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C2B2A5-7757-4A0A-906A-053974F5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2226</Words>
  <Characters>13357</Characters>
  <Application>Microsoft Office Word</Application>
  <DocSecurity>0</DocSecurity>
  <Lines>111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Savills plc</Company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Lohmann, Frauke</dc:creator>
  <cp:keywords/>
  <cp:lastModifiedBy>Krzysztof Wielgus</cp:lastModifiedBy>
  <cp:revision>7</cp:revision>
  <cp:lastPrinted>2019-11-19T14:35:00Z</cp:lastPrinted>
  <dcterms:created xsi:type="dcterms:W3CDTF">2020-11-25T11:31:00Z</dcterms:created>
  <dcterms:modified xsi:type="dcterms:W3CDTF">2020-11-26T08:48:00Z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